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820E0B" w14:textId="77777777" w:rsidR="002F15B7" w:rsidRDefault="00FA0D54">
      <w:pPr>
        <w:spacing w:after="840"/>
      </w:pPr>
      <w:r>
        <w:rPr>
          <w:noProof/>
          <w:lang w:eastAsia="fr-FR"/>
        </w:rPr>
        <w:drawing>
          <wp:inline distT="0" distB="0" distL="0" distR="0" wp14:anchorId="281B1DCC" wp14:editId="3352EBA9">
            <wp:extent cx="2080260" cy="864024"/>
            <wp:effectExtent l="0" t="0" r="2540" b="0"/>
            <wp:docPr id="1" name="Image 1" descr="Logo de l'INSEI. Institut national supérieur de formation et de recherche pour l'éducation inclu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662655" name="Image 1" descr="Logo de l'INSEI. Institut national supérieur de formation et de recherche pour l'éducation inclusive."/>
                    <pic:cNvPicPr>
                      <a:picLocks noChangeAspect="1"/>
                    </pic:cNvPicPr>
                  </pic:nvPicPr>
                  <pic:blipFill>
                    <a:blip r:embed="rId8"/>
                    <a:stretch/>
                  </pic:blipFill>
                  <pic:spPr bwMode="auto">
                    <a:xfrm>
                      <a:off x="0" y="0"/>
                      <a:ext cx="2148721" cy="892459"/>
                    </a:xfrm>
                    <a:prstGeom prst="rect">
                      <a:avLst/>
                    </a:prstGeom>
                  </pic:spPr>
                </pic:pic>
              </a:graphicData>
            </a:graphic>
          </wp:inline>
        </w:drawing>
      </w:r>
    </w:p>
    <w:p w14:paraId="6B61A86A" w14:textId="77777777" w:rsidR="002F15B7" w:rsidRDefault="00FA0D54">
      <w:pPr>
        <w:pStyle w:val="Titre"/>
      </w:pPr>
      <w:r>
        <w:t xml:space="preserve">Newsletter </w:t>
      </w:r>
      <w:r>
        <w:br/>
        <w:t>Recherche et international</w:t>
      </w:r>
    </w:p>
    <w:p w14:paraId="1C86E46B" w14:textId="77777777" w:rsidR="002F15B7" w:rsidRDefault="00FA0D54">
      <w:pPr>
        <w:spacing w:after="360"/>
      </w:pPr>
      <w:r>
        <w:t>Octobre 2025</w:t>
      </w:r>
    </w:p>
    <w:p w14:paraId="53BD54D4" w14:textId="77777777" w:rsidR="002F15B7" w:rsidRDefault="00FA0D54">
      <w:r>
        <w:br w:type="page" w:clear="all"/>
      </w:r>
    </w:p>
    <w:p w14:paraId="6CFD1E61" w14:textId="77777777" w:rsidR="00B52C25" w:rsidRDefault="00FA0D54" w:rsidP="009A6E91">
      <w:pPr>
        <w:pStyle w:val="Titre1"/>
        <w:rPr>
          <w:noProof/>
        </w:rPr>
      </w:pPr>
      <w:bookmarkStart w:id="0" w:name="_Toc189733254"/>
      <w:bookmarkStart w:id="1" w:name="_Toc189733339"/>
      <w:bookmarkStart w:id="2" w:name="_Toc211587433"/>
      <w:r>
        <w:lastRenderedPageBreak/>
        <w:t>Sommaire</w:t>
      </w:r>
      <w:bookmarkEnd w:id="0"/>
      <w:bookmarkEnd w:id="1"/>
      <w:bookmarkEnd w:id="2"/>
      <w:r>
        <w:rPr>
          <w:rFonts w:eastAsiaTheme="minorEastAsia"/>
          <w:lang w:eastAsia="fr-FR"/>
        </w:rPr>
        <w:fldChar w:fldCharType="begin"/>
      </w:r>
      <w:r>
        <w:rPr>
          <w:rFonts w:eastAsiaTheme="minorEastAsia"/>
          <w:lang w:eastAsia="fr-FR"/>
        </w:rPr>
        <w:instrText xml:space="preserve"> TOC \o "1-1" \h \z \u </w:instrText>
      </w:r>
      <w:r>
        <w:rPr>
          <w:rFonts w:eastAsiaTheme="minorEastAsia"/>
          <w:lang w:eastAsia="fr-FR"/>
        </w:rPr>
        <w:fldChar w:fldCharType="separate"/>
      </w:r>
    </w:p>
    <w:p w14:paraId="45835836" w14:textId="49CBF137" w:rsidR="00B52C25" w:rsidRDefault="00B52C25">
      <w:pPr>
        <w:pStyle w:val="TM1"/>
        <w:rPr>
          <w:rFonts w:asciiTheme="minorHAnsi" w:eastAsiaTheme="minorEastAsia" w:hAnsiTheme="minorHAnsi"/>
          <w:noProof/>
          <w:kern w:val="2"/>
          <w:lang w:eastAsia="fr-FR"/>
          <w14:ligatures w14:val="standardContextual"/>
        </w:rPr>
      </w:pPr>
      <w:hyperlink w:anchor="_Toc211587433" w:history="1">
        <w:r w:rsidRPr="00B673FD">
          <w:rPr>
            <w:rStyle w:val="Lienhypertexte"/>
            <w:noProof/>
          </w:rPr>
          <w:t>Sommaire</w:t>
        </w:r>
        <w:r>
          <w:rPr>
            <w:noProof/>
            <w:webHidden/>
          </w:rPr>
          <w:tab/>
        </w:r>
        <w:r>
          <w:rPr>
            <w:noProof/>
            <w:webHidden/>
          </w:rPr>
          <w:fldChar w:fldCharType="begin"/>
        </w:r>
        <w:r>
          <w:rPr>
            <w:noProof/>
            <w:webHidden/>
          </w:rPr>
          <w:instrText xml:space="preserve"> PAGEREF _Toc211587433 \h </w:instrText>
        </w:r>
        <w:r>
          <w:rPr>
            <w:noProof/>
            <w:webHidden/>
          </w:rPr>
        </w:r>
        <w:r>
          <w:rPr>
            <w:noProof/>
            <w:webHidden/>
          </w:rPr>
          <w:fldChar w:fldCharType="separate"/>
        </w:r>
        <w:r>
          <w:rPr>
            <w:noProof/>
            <w:webHidden/>
          </w:rPr>
          <w:t>2</w:t>
        </w:r>
        <w:r>
          <w:rPr>
            <w:noProof/>
            <w:webHidden/>
          </w:rPr>
          <w:fldChar w:fldCharType="end"/>
        </w:r>
      </w:hyperlink>
    </w:p>
    <w:p w14:paraId="5ADBFBE3" w14:textId="3BC4527B" w:rsidR="00B52C25" w:rsidRDefault="00B52C25">
      <w:pPr>
        <w:pStyle w:val="TM1"/>
        <w:rPr>
          <w:rFonts w:asciiTheme="minorHAnsi" w:eastAsiaTheme="minorEastAsia" w:hAnsiTheme="minorHAnsi"/>
          <w:noProof/>
          <w:kern w:val="2"/>
          <w:lang w:eastAsia="fr-FR"/>
          <w14:ligatures w14:val="standardContextual"/>
        </w:rPr>
      </w:pPr>
      <w:hyperlink w:anchor="_Toc211587434" w:history="1">
        <w:r w:rsidRPr="00B673FD">
          <w:rPr>
            <w:rStyle w:val="Lienhypertexte"/>
            <w:noProof/>
          </w:rPr>
          <w:t xml:space="preserve">Rubrique numéro 1 : À la </w:t>
        </w:r>
        <w:r w:rsidR="002102C0">
          <w:rPr>
            <w:rStyle w:val="Lienhypertexte"/>
            <w:noProof/>
          </w:rPr>
          <w:t>u</w:t>
        </w:r>
        <w:r w:rsidRPr="00B673FD">
          <w:rPr>
            <w:rStyle w:val="Lienhypertexte"/>
            <w:noProof/>
          </w:rPr>
          <w:t>ne</w:t>
        </w:r>
        <w:r>
          <w:rPr>
            <w:noProof/>
            <w:webHidden/>
          </w:rPr>
          <w:tab/>
        </w:r>
        <w:r>
          <w:rPr>
            <w:noProof/>
            <w:webHidden/>
          </w:rPr>
          <w:fldChar w:fldCharType="begin"/>
        </w:r>
        <w:r>
          <w:rPr>
            <w:noProof/>
            <w:webHidden/>
          </w:rPr>
          <w:instrText xml:space="preserve"> PAGEREF _Toc211587434 \h </w:instrText>
        </w:r>
        <w:r>
          <w:rPr>
            <w:noProof/>
            <w:webHidden/>
          </w:rPr>
        </w:r>
        <w:r>
          <w:rPr>
            <w:noProof/>
            <w:webHidden/>
          </w:rPr>
          <w:fldChar w:fldCharType="separate"/>
        </w:r>
        <w:r>
          <w:rPr>
            <w:noProof/>
            <w:webHidden/>
          </w:rPr>
          <w:t>3</w:t>
        </w:r>
        <w:r>
          <w:rPr>
            <w:noProof/>
            <w:webHidden/>
          </w:rPr>
          <w:fldChar w:fldCharType="end"/>
        </w:r>
      </w:hyperlink>
    </w:p>
    <w:p w14:paraId="445B1F5D" w14:textId="290CA08B" w:rsidR="00B52C25" w:rsidRDefault="00B52C25">
      <w:pPr>
        <w:pStyle w:val="TM1"/>
        <w:rPr>
          <w:rFonts w:asciiTheme="minorHAnsi" w:eastAsiaTheme="minorEastAsia" w:hAnsiTheme="minorHAnsi"/>
          <w:noProof/>
          <w:kern w:val="2"/>
          <w:lang w:eastAsia="fr-FR"/>
          <w14:ligatures w14:val="standardContextual"/>
        </w:rPr>
      </w:pPr>
      <w:hyperlink w:anchor="_Toc211587435" w:history="1">
        <w:r w:rsidRPr="00B673FD">
          <w:rPr>
            <w:rStyle w:val="Lienhypertexte"/>
            <w:noProof/>
          </w:rPr>
          <w:t>Rubrique numéro 2 : Focus</w:t>
        </w:r>
        <w:r>
          <w:rPr>
            <w:noProof/>
            <w:webHidden/>
          </w:rPr>
          <w:tab/>
        </w:r>
        <w:r>
          <w:rPr>
            <w:noProof/>
            <w:webHidden/>
          </w:rPr>
          <w:fldChar w:fldCharType="begin"/>
        </w:r>
        <w:r>
          <w:rPr>
            <w:noProof/>
            <w:webHidden/>
          </w:rPr>
          <w:instrText xml:space="preserve"> PAGEREF _Toc211587435 \h </w:instrText>
        </w:r>
        <w:r>
          <w:rPr>
            <w:noProof/>
            <w:webHidden/>
          </w:rPr>
        </w:r>
        <w:r>
          <w:rPr>
            <w:noProof/>
            <w:webHidden/>
          </w:rPr>
          <w:fldChar w:fldCharType="separate"/>
        </w:r>
        <w:r>
          <w:rPr>
            <w:noProof/>
            <w:webHidden/>
          </w:rPr>
          <w:t>4</w:t>
        </w:r>
        <w:r>
          <w:rPr>
            <w:noProof/>
            <w:webHidden/>
          </w:rPr>
          <w:fldChar w:fldCharType="end"/>
        </w:r>
      </w:hyperlink>
    </w:p>
    <w:p w14:paraId="76CEFBD6" w14:textId="0EBBD6ED" w:rsidR="00B52C25" w:rsidRDefault="00B52C25">
      <w:pPr>
        <w:pStyle w:val="TM1"/>
        <w:rPr>
          <w:rFonts w:asciiTheme="minorHAnsi" w:eastAsiaTheme="minorEastAsia" w:hAnsiTheme="minorHAnsi"/>
          <w:noProof/>
          <w:kern w:val="2"/>
          <w:lang w:eastAsia="fr-FR"/>
          <w14:ligatures w14:val="standardContextual"/>
        </w:rPr>
      </w:pPr>
      <w:hyperlink w:anchor="_Toc211587436" w:history="1">
        <w:r w:rsidRPr="00B673FD">
          <w:rPr>
            <w:rStyle w:val="Lienhypertexte"/>
            <w:noProof/>
          </w:rPr>
          <w:t>Rubrique numéro 3 : Appel à projets</w:t>
        </w:r>
        <w:r>
          <w:rPr>
            <w:noProof/>
            <w:webHidden/>
          </w:rPr>
          <w:tab/>
        </w:r>
        <w:r>
          <w:rPr>
            <w:noProof/>
            <w:webHidden/>
          </w:rPr>
          <w:fldChar w:fldCharType="begin"/>
        </w:r>
        <w:r>
          <w:rPr>
            <w:noProof/>
            <w:webHidden/>
          </w:rPr>
          <w:instrText xml:space="preserve"> PAGEREF _Toc211587436 \h </w:instrText>
        </w:r>
        <w:r>
          <w:rPr>
            <w:noProof/>
            <w:webHidden/>
          </w:rPr>
        </w:r>
        <w:r>
          <w:rPr>
            <w:noProof/>
            <w:webHidden/>
          </w:rPr>
          <w:fldChar w:fldCharType="separate"/>
        </w:r>
        <w:r>
          <w:rPr>
            <w:noProof/>
            <w:webHidden/>
          </w:rPr>
          <w:t>6</w:t>
        </w:r>
        <w:r>
          <w:rPr>
            <w:noProof/>
            <w:webHidden/>
          </w:rPr>
          <w:fldChar w:fldCharType="end"/>
        </w:r>
      </w:hyperlink>
    </w:p>
    <w:p w14:paraId="7DA044C3" w14:textId="0EC59982" w:rsidR="00B52C25" w:rsidRDefault="00B52C25">
      <w:pPr>
        <w:pStyle w:val="TM1"/>
        <w:rPr>
          <w:rFonts w:asciiTheme="minorHAnsi" w:eastAsiaTheme="minorEastAsia" w:hAnsiTheme="minorHAnsi"/>
          <w:noProof/>
          <w:kern w:val="2"/>
          <w:lang w:eastAsia="fr-FR"/>
          <w14:ligatures w14:val="standardContextual"/>
        </w:rPr>
      </w:pPr>
      <w:hyperlink w:anchor="_Toc211587437" w:history="1">
        <w:r w:rsidRPr="00B673FD">
          <w:rPr>
            <w:rStyle w:val="Lienhypertexte"/>
            <w:noProof/>
          </w:rPr>
          <w:t xml:space="preserve">Rubrique numéro 4 : </w:t>
        </w:r>
        <w:r w:rsidR="002D12A4">
          <w:rPr>
            <w:rStyle w:val="Lienhypertexte"/>
            <w:noProof/>
          </w:rPr>
          <w:t>Aux</w:t>
        </w:r>
        <w:r w:rsidRPr="00B673FD">
          <w:rPr>
            <w:rStyle w:val="Lienhypertexte"/>
            <w:noProof/>
          </w:rPr>
          <w:t xml:space="preserve"> doctorants</w:t>
        </w:r>
        <w:r>
          <w:rPr>
            <w:noProof/>
            <w:webHidden/>
          </w:rPr>
          <w:tab/>
        </w:r>
        <w:r>
          <w:rPr>
            <w:noProof/>
            <w:webHidden/>
          </w:rPr>
          <w:fldChar w:fldCharType="begin"/>
        </w:r>
        <w:r>
          <w:rPr>
            <w:noProof/>
            <w:webHidden/>
          </w:rPr>
          <w:instrText xml:space="preserve"> PAGEREF _Toc211587437 \h </w:instrText>
        </w:r>
        <w:r>
          <w:rPr>
            <w:noProof/>
            <w:webHidden/>
          </w:rPr>
        </w:r>
        <w:r>
          <w:rPr>
            <w:noProof/>
            <w:webHidden/>
          </w:rPr>
          <w:fldChar w:fldCharType="separate"/>
        </w:r>
        <w:r>
          <w:rPr>
            <w:noProof/>
            <w:webHidden/>
          </w:rPr>
          <w:t>13</w:t>
        </w:r>
        <w:r>
          <w:rPr>
            <w:noProof/>
            <w:webHidden/>
          </w:rPr>
          <w:fldChar w:fldCharType="end"/>
        </w:r>
      </w:hyperlink>
    </w:p>
    <w:p w14:paraId="087AEF25" w14:textId="17A51B56" w:rsidR="00B52C25" w:rsidRDefault="00B52C25">
      <w:pPr>
        <w:pStyle w:val="TM1"/>
        <w:rPr>
          <w:rFonts w:asciiTheme="minorHAnsi" w:eastAsiaTheme="minorEastAsia" w:hAnsiTheme="minorHAnsi"/>
          <w:noProof/>
          <w:kern w:val="2"/>
          <w:lang w:eastAsia="fr-FR"/>
          <w14:ligatures w14:val="standardContextual"/>
        </w:rPr>
      </w:pPr>
      <w:hyperlink w:anchor="_Toc211587438" w:history="1">
        <w:r w:rsidRPr="00B673FD">
          <w:rPr>
            <w:rStyle w:val="Lienhypertexte"/>
            <w:noProof/>
          </w:rPr>
          <w:t xml:space="preserve">Rubrique numéro 5 : </w:t>
        </w:r>
        <w:r w:rsidR="002D12A4">
          <w:rPr>
            <w:rStyle w:val="Lienhypertexte"/>
            <w:noProof/>
          </w:rPr>
          <w:t xml:space="preserve">Questions pour le </w:t>
        </w:r>
        <w:r w:rsidRPr="00B673FD">
          <w:rPr>
            <w:rStyle w:val="Lienhypertexte"/>
            <w:noProof/>
          </w:rPr>
          <w:t>DPO</w:t>
        </w:r>
        <w:r>
          <w:rPr>
            <w:noProof/>
            <w:webHidden/>
          </w:rPr>
          <w:tab/>
        </w:r>
        <w:r>
          <w:rPr>
            <w:noProof/>
            <w:webHidden/>
          </w:rPr>
          <w:fldChar w:fldCharType="begin"/>
        </w:r>
        <w:r>
          <w:rPr>
            <w:noProof/>
            <w:webHidden/>
          </w:rPr>
          <w:instrText xml:space="preserve"> PAGEREF _Toc211587438 \h </w:instrText>
        </w:r>
        <w:r>
          <w:rPr>
            <w:noProof/>
            <w:webHidden/>
          </w:rPr>
        </w:r>
        <w:r>
          <w:rPr>
            <w:noProof/>
            <w:webHidden/>
          </w:rPr>
          <w:fldChar w:fldCharType="separate"/>
        </w:r>
        <w:r>
          <w:rPr>
            <w:noProof/>
            <w:webHidden/>
          </w:rPr>
          <w:t>14</w:t>
        </w:r>
        <w:r>
          <w:rPr>
            <w:noProof/>
            <w:webHidden/>
          </w:rPr>
          <w:fldChar w:fldCharType="end"/>
        </w:r>
      </w:hyperlink>
    </w:p>
    <w:p w14:paraId="6F350D1F" w14:textId="2C28B4DC" w:rsidR="00B52C25" w:rsidRDefault="00B52C25">
      <w:pPr>
        <w:pStyle w:val="TM1"/>
        <w:rPr>
          <w:rFonts w:asciiTheme="minorHAnsi" w:eastAsiaTheme="minorEastAsia" w:hAnsiTheme="minorHAnsi"/>
          <w:noProof/>
          <w:kern w:val="2"/>
          <w:lang w:eastAsia="fr-FR"/>
          <w14:ligatures w14:val="standardContextual"/>
        </w:rPr>
      </w:pPr>
      <w:hyperlink w:anchor="_Toc211587439" w:history="1">
        <w:r w:rsidRPr="00B673FD">
          <w:rPr>
            <w:rStyle w:val="Lienhypertexte"/>
            <w:noProof/>
          </w:rPr>
          <w:t>Rubrique numéro 6 : Science ouverte</w:t>
        </w:r>
        <w:r>
          <w:rPr>
            <w:noProof/>
            <w:webHidden/>
          </w:rPr>
          <w:tab/>
        </w:r>
        <w:r>
          <w:rPr>
            <w:noProof/>
            <w:webHidden/>
          </w:rPr>
          <w:fldChar w:fldCharType="begin"/>
        </w:r>
        <w:r>
          <w:rPr>
            <w:noProof/>
            <w:webHidden/>
          </w:rPr>
          <w:instrText xml:space="preserve"> PAGEREF _Toc211587439 \h </w:instrText>
        </w:r>
        <w:r>
          <w:rPr>
            <w:noProof/>
            <w:webHidden/>
          </w:rPr>
        </w:r>
        <w:r>
          <w:rPr>
            <w:noProof/>
            <w:webHidden/>
          </w:rPr>
          <w:fldChar w:fldCharType="separate"/>
        </w:r>
        <w:r>
          <w:rPr>
            <w:noProof/>
            <w:webHidden/>
          </w:rPr>
          <w:t>16</w:t>
        </w:r>
        <w:r>
          <w:rPr>
            <w:noProof/>
            <w:webHidden/>
          </w:rPr>
          <w:fldChar w:fldCharType="end"/>
        </w:r>
      </w:hyperlink>
    </w:p>
    <w:p w14:paraId="61453E51" w14:textId="69EEE2CB" w:rsidR="00B52C25" w:rsidRDefault="00B52C25">
      <w:pPr>
        <w:pStyle w:val="TM1"/>
        <w:rPr>
          <w:rFonts w:asciiTheme="minorHAnsi" w:eastAsiaTheme="minorEastAsia" w:hAnsiTheme="minorHAnsi"/>
          <w:noProof/>
          <w:kern w:val="2"/>
          <w:lang w:eastAsia="fr-FR"/>
          <w14:ligatures w14:val="standardContextual"/>
        </w:rPr>
      </w:pPr>
      <w:hyperlink w:anchor="_Toc211587440" w:history="1">
        <w:r w:rsidRPr="00B673FD">
          <w:rPr>
            <w:rStyle w:val="Lienhypertexte"/>
            <w:noProof/>
          </w:rPr>
          <w:t>Rubrique numéro 7 : À vos agendas</w:t>
        </w:r>
        <w:r>
          <w:rPr>
            <w:noProof/>
            <w:webHidden/>
          </w:rPr>
          <w:tab/>
        </w:r>
        <w:r>
          <w:rPr>
            <w:noProof/>
            <w:webHidden/>
          </w:rPr>
          <w:fldChar w:fldCharType="begin"/>
        </w:r>
        <w:r>
          <w:rPr>
            <w:noProof/>
            <w:webHidden/>
          </w:rPr>
          <w:instrText xml:space="preserve"> PAGEREF _Toc211587440 \h </w:instrText>
        </w:r>
        <w:r>
          <w:rPr>
            <w:noProof/>
            <w:webHidden/>
          </w:rPr>
        </w:r>
        <w:r>
          <w:rPr>
            <w:noProof/>
            <w:webHidden/>
          </w:rPr>
          <w:fldChar w:fldCharType="separate"/>
        </w:r>
        <w:r>
          <w:rPr>
            <w:noProof/>
            <w:webHidden/>
          </w:rPr>
          <w:t>19</w:t>
        </w:r>
        <w:r>
          <w:rPr>
            <w:noProof/>
            <w:webHidden/>
          </w:rPr>
          <w:fldChar w:fldCharType="end"/>
        </w:r>
      </w:hyperlink>
    </w:p>
    <w:p w14:paraId="3874A489" w14:textId="42C726BF" w:rsidR="00B52C25" w:rsidRDefault="00B52C25">
      <w:pPr>
        <w:pStyle w:val="TM1"/>
        <w:rPr>
          <w:rFonts w:asciiTheme="minorHAnsi" w:eastAsiaTheme="minorEastAsia" w:hAnsiTheme="minorHAnsi"/>
          <w:noProof/>
          <w:kern w:val="2"/>
          <w:lang w:eastAsia="fr-FR"/>
          <w14:ligatures w14:val="standardContextual"/>
        </w:rPr>
      </w:pPr>
      <w:hyperlink w:anchor="_Toc211587441" w:history="1">
        <w:r w:rsidRPr="00B673FD">
          <w:rPr>
            <w:rStyle w:val="Lienhypertexte"/>
            <w:noProof/>
          </w:rPr>
          <w:t>Rubrique numéro 8 : Publications</w:t>
        </w:r>
        <w:r>
          <w:rPr>
            <w:noProof/>
            <w:webHidden/>
          </w:rPr>
          <w:tab/>
        </w:r>
        <w:r>
          <w:rPr>
            <w:noProof/>
            <w:webHidden/>
          </w:rPr>
          <w:fldChar w:fldCharType="begin"/>
        </w:r>
        <w:r>
          <w:rPr>
            <w:noProof/>
            <w:webHidden/>
          </w:rPr>
          <w:instrText xml:space="preserve"> PAGEREF _Toc211587441 \h </w:instrText>
        </w:r>
        <w:r>
          <w:rPr>
            <w:noProof/>
            <w:webHidden/>
          </w:rPr>
        </w:r>
        <w:r>
          <w:rPr>
            <w:noProof/>
            <w:webHidden/>
          </w:rPr>
          <w:fldChar w:fldCharType="separate"/>
        </w:r>
        <w:r>
          <w:rPr>
            <w:noProof/>
            <w:webHidden/>
          </w:rPr>
          <w:t>23</w:t>
        </w:r>
        <w:r>
          <w:rPr>
            <w:noProof/>
            <w:webHidden/>
          </w:rPr>
          <w:fldChar w:fldCharType="end"/>
        </w:r>
      </w:hyperlink>
    </w:p>
    <w:p w14:paraId="6DD8DFF4" w14:textId="669071E8" w:rsidR="00B52C25" w:rsidRDefault="00B52C25">
      <w:pPr>
        <w:pStyle w:val="TM1"/>
        <w:rPr>
          <w:rFonts w:asciiTheme="minorHAnsi" w:eastAsiaTheme="minorEastAsia" w:hAnsiTheme="minorHAnsi"/>
          <w:noProof/>
          <w:kern w:val="2"/>
          <w:lang w:eastAsia="fr-FR"/>
          <w14:ligatures w14:val="standardContextual"/>
        </w:rPr>
      </w:pPr>
      <w:hyperlink w:anchor="_Toc211587442" w:history="1">
        <w:r w:rsidRPr="00B673FD">
          <w:rPr>
            <w:rStyle w:val="Lienhypertexte"/>
            <w:noProof/>
          </w:rPr>
          <w:t>Rubrique numéro 9 : Communications</w:t>
        </w:r>
        <w:r>
          <w:rPr>
            <w:noProof/>
            <w:webHidden/>
          </w:rPr>
          <w:tab/>
        </w:r>
        <w:r>
          <w:rPr>
            <w:noProof/>
            <w:webHidden/>
          </w:rPr>
          <w:fldChar w:fldCharType="begin"/>
        </w:r>
        <w:r>
          <w:rPr>
            <w:noProof/>
            <w:webHidden/>
          </w:rPr>
          <w:instrText xml:space="preserve"> PAGEREF _Toc211587442 \h </w:instrText>
        </w:r>
        <w:r>
          <w:rPr>
            <w:noProof/>
            <w:webHidden/>
          </w:rPr>
        </w:r>
        <w:r>
          <w:rPr>
            <w:noProof/>
            <w:webHidden/>
          </w:rPr>
          <w:fldChar w:fldCharType="separate"/>
        </w:r>
        <w:r>
          <w:rPr>
            <w:noProof/>
            <w:webHidden/>
          </w:rPr>
          <w:t>24</w:t>
        </w:r>
        <w:r>
          <w:rPr>
            <w:noProof/>
            <w:webHidden/>
          </w:rPr>
          <w:fldChar w:fldCharType="end"/>
        </w:r>
      </w:hyperlink>
    </w:p>
    <w:p w14:paraId="341478B8" w14:textId="7AD9EB62" w:rsidR="00B52C25" w:rsidRDefault="00B52C25">
      <w:pPr>
        <w:pStyle w:val="TM1"/>
        <w:rPr>
          <w:rFonts w:asciiTheme="minorHAnsi" w:eastAsiaTheme="minorEastAsia" w:hAnsiTheme="minorHAnsi"/>
          <w:noProof/>
          <w:kern w:val="2"/>
          <w:lang w:eastAsia="fr-FR"/>
          <w14:ligatures w14:val="standardContextual"/>
        </w:rPr>
      </w:pPr>
      <w:hyperlink w:anchor="_Toc211587443" w:history="1">
        <w:r w:rsidRPr="00B673FD">
          <w:rPr>
            <w:rStyle w:val="Lienhypertexte"/>
            <w:noProof/>
          </w:rPr>
          <w:t>Rubrique numéro 10 :</w:t>
        </w:r>
        <w:r w:rsidR="002102C0">
          <w:rPr>
            <w:rStyle w:val="Lienhypertexte"/>
            <w:noProof/>
          </w:rPr>
          <w:t xml:space="preserve"> </w:t>
        </w:r>
        <w:r w:rsidRPr="00B673FD">
          <w:rPr>
            <w:rStyle w:val="Lienhypertexte"/>
            <w:noProof/>
          </w:rPr>
          <w:t>Erasmus+ et partenariats</w:t>
        </w:r>
        <w:r>
          <w:rPr>
            <w:noProof/>
            <w:webHidden/>
          </w:rPr>
          <w:tab/>
        </w:r>
        <w:r>
          <w:rPr>
            <w:noProof/>
            <w:webHidden/>
          </w:rPr>
          <w:fldChar w:fldCharType="begin"/>
        </w:r>
        <w:r>
          <w:rPr>
            <w:noProof/>
            <w:webHidden/>
          </w:rPr>
          <w:instrText xml:space="preserve"> PAGEREF _Toc211587443 \h </w:instrText>
        </w:r>
        <w:r>
          <w:rPr>
            <w:noProof/>
            <w:webHidden/>
          </w:rPr>
        </w:r>
        <w:r>
          <w:rPr>
            <w:noProof/>
            <w:webHidden/>
          </w:rPr>
          <w:fldChar w:fldCharType="separate"/>
        </w:r>
        <w:r>
          <w:rPr>
            <w:noProof/>
            <w:webHidden/>
          </w:rPr>
          <w:t>26</w:t>
        </w:r>
        <w:r>
          <w:rPr>
            <w:noProof/>
            <w:webHidden/>
          </w:rPr>
          <w:fldChar w:fldCharType="end"/>
        </w:r>
      </w:hyperlink>
    </w:p>
    <w:p w14:paraId="10680609" w14:textId="17EA6488" w:rsidR="00B52C25" w:rsidRDefault="00B52C25">
      <w:pPr>
        <w:pStyle w:val="TM1"/>
        <w:rPr>
          <w:rFonts w:asciiTheme="minorHAnsi" w:eastAsiaTheme="minorEastAsia" w:hAnsiTheme="minorHAnsi"/>
          <w:noProof/>
          <w:kern w:val="2"/>
          <w:lang w:eastAsia="fr-FR"/>
          <w14:ligatures w14:val="standardContextual"/>
        </w:rPr>
      </w:pPr>
      <w:hyperlink w:anchor="_Toc211587444" w:history="1">
        <w:r w:rsidRPr="00B673FD">
          <w:rPr>
            <w:rStyle w:val="Lienhypertexte"/>
            <w:noProof/>
          </w:rPr>
          <w:t>Merci !</w:t>
        </w:r>
        <w:r>
          <w:rPr>
            <w:noProof/>
            <w:webHidden/>
          </w:rPr>
          <w:tab/>
        </w:r>
        <w:r>
          <w:rPr>
            <w:noProof/>
            <w:webHidden/>
          </w:rPr>
          <w:fldChar w:fldCharType="begin"/>
        </w:r>
        <w:r>
          <w:rPr>
            <w:noProof/>
            <w:webHidden/>
          </w:rPr>
          <w:instrText xml:space="preserve"> PAGEREF _Toc211587444 \h </w:instrText>
        </w:r>
        <w:r>
          <w:rPr>
            <w:noProof/>
            <w:webHidden/>
          </w:rPr>
        </w:r>
        <w:r>
          <w:rPr>
            <w:noProof/>
            <w:webHidden/>
          </w:rPr>
          <w:fldChar w:fldCharType="separate"/>
        </w:r>
        <w:r>
          <w:rPr>
            <w:noProof/>
            <w:webHidden/>
          </w:rPr>
          <w:t>28</w:t>
        </w:r>
        <w:r>
          <w:rPr>
            <w:noProof/>
            <w:webHidden/>
          </w:rPr>
          <w:fldChar w:fldCharType="end"/>
        </w:r>
      </w:hyperlink>
    </w:p>
    <w:p w14:paraId="6397652E" w14:textId="77777777" w:rsidR="002F15B7" w:rsidRDefault="00FA0D54">
      <w:pPr>
        <w:pStyle w:val="TM1"/>
        <w:rPr>
          <w:lang w:eastAsia="fr-FR"/>
        </w:rPr>
      </w:pPr>
      <w:r>
        <w:rPr>
          <w:lang w:eastAsia="fr-FR"/>
        </w:rPr>
        <w:fldChar w:fldCharType="end"/>
      </w:r>
      <w:r>
        <w:br w:type="page" w:clear="all"/>
      </w:r>
    </w:p>
    <w:p w14:paraId="4211904B" w14:textId="262A0CDD" w:rsidR="002F15B7" w:rsidRDefault="00FA0D54" w:rsidP="00E665FE">
      <w:pPr>
        <w:pStyle w:val="Titre1"/>
      </w:pPr>
      <w:bookmarkStart w:id="3" w:name="_Toc189733255"/>
      <w:bookmarkStart w:id="4" w:name="_Toc189733340"/>
      <w:bookmarkStart w:id="5" w:name="_Toc189735555"/>
      <w:bookmarkStart w:id="6" w:name="_Toc211587434"/>
      <w:r w:rsidRPr="00A67716">
        <w:lastRenderedPageBreak/>
        <w:t>Rubrique</w:t>
      </w:r>
      <w:r>
        <w:t xml:space="preserve"> numéro 1 : </w:t>
      </w:r>
      <w:bookmarkEnd w:id="3"/>
      <w:bookmarkEnd w:id="4"/>
      <w:bookmarkEnd w:id="5"/>
      <w:r w:rsidR="00443F8C">
        <w:t>À</w:t>
      </w:r>
      <w:r>
        <w:t xml:space="preserve"> la </w:t>
      </w:r>
      <w:r w:rsidR="002102C0">
        <w:t>u</w:t>
      </w:r>
      <w:r>
        <w:t>ne</w:t>
      </w:r>
      <w:bookmarkEnd w:id="6"/>
    </w:p>
    <w:p w14:paraId="23366F21" w14:textId="77777777" w:rsidR="002102C0" w:rsidRDefault="002102C0">
      <w:pPr>
        <w:rPr>
          <w:b/>
          <w:bCs/>
          <w:color w:val="000000"/>
          <w:shd w:val="clear" w:color="auto" w:fill="FFFFFF"/>
        </w:rPr>
      </w:pPr>
    </w:p>
    <w:p w14:paraId="66F43D3C" w14:textId="77777777" w:rsidR="00237A87" w:rsidRDefault="00237A87" w:rsidP="00237A87">
      <w:pPr>
        <w:rPr>
          <w:b/>
          <w:bCs/>
          <w:color w:val="000000"/>
          <w:shd w:val="clear" w:color="auto" w:fill="FFFFFF"/>
        </w:rPr>
      </w:pPr>
      <w:r w:rsidRPr="00D926D0">
        <w:rPr>
          <w:b/>
          <w:bCs/>
          <w:color w:val="000000"/>
          <w:shd w:val="clear" w:color="auto" w:fill="FFFFFF"/>
        </w:rPr>
        <w:t>Esther Atlan reçoit le Prix de Thèse de l’INSEI !</w:t>
      </w:r>
    </w:p>
    <w:p w14:paraId="42DE1C5C" w14:textId="77777777" w:rsidR="00237A87" w:rsidRPr="00D926D0" w:rsidRDefault="00237A87" w:rsidP="00237A87">
      <w:pPr>
        <w:rPr>
          <w:color w:val="000000"/>
          <w:shd w:val="clear" w:color="auto" w:fill="FFFFFF"/>
        </w:rPr>
      </w:pPr>
      <w:r w:rsidRPr="00D926D0">
        <w:rPr>
          <w:b/>
          <w:bCs/>
          <w:color w:val="000000"/>
          <w:shd w:val="clear" w:color="auto" w:fill="FFFFFF"/>
        </w:rPr>
        <w:t xml:space="preserve">Esther Atlan </w:t>
      </w:r>
      <w:r w:rsidRPr="00D926D0">
        <w:rPr>
          <w:color w:val="000000"/>
          <w:shd w:val="clear" w:color="auto" w:fill="FFFFFF"/>
        </w:rPr>
        <w:t>a obtenu le</w:t>
      </w:r>
      <w:r w:rsidRPr="00D926D0">
        <w:rPr>
          <w:b/>
          <w:bCs/>
          <w:color w:val="000000"/>
          <w:shd w:val="clear" w:color="auto" w:fill="FFFFFF"/>
        </w:rPr>
        <w:t xml:space="preserve"> Prix de Thèse 2025 de l’INSEI</w:t>
      </w:r>
      <w:r w:rsidRPr="00D926D0">
        <w:rPr>
          <w:color w:val="000000"/>
          <w:shd w:val="clear" w:color="auto" w:fill="FFFFFF"/>
        </w:rPr>
        <w:t>, décerné</w:t>
      </w:r>
    </w:p>
    <w:p w14:paraId="5DF2CF09" w14:textId="77777777" w:rsidR="00237A87" w:rsidRPr="00D926D0" w:rsidRDefault="00237A87" w:rsidP="00237A87">
      <w:pPr>
        <w:rPr>
          <w:color w:val="000000"/>
          <w:shd w:val="clear" w:color="auto" w:fill="FFFFFF"/>
        </w:rPr>
      </w:pPr>
      <w:proofErr w:type="gramStart"/>
      <w:r w:rsidRPr="00D926D0">
        <w:rPr>
          <w:color w:val="000000"/>
          <w:shd w:val="clear" w:color="auto" w:fill="FFFFFF"/>
        </w:rPr>
        <w:t>en</w:t>
      </w:r>
      <w:proofErr w:type="gramEnd"/>
      <w:r w:rsidRPr="00D926D0">
        <w:rPr>
          <w:color w:val="000000"/>
          <w:shd w:val="clear" w:color="auto" w:fill="FFFFFF"/>
        </w:rPr>
        <w:t xml:space="preserve"> partenariat avec le Grhapes. La thèse lauréate, intitulée</w:t>
      </w:r>
    </w:p>
    <w:p w14:paraId="46FD6F66" w14:textId="77777777" w:rsidR="00237A87" w:rsidRPr="00820E43" w:rsidRDefault="00237A87" w:rsidP="00237A87">
      <w:pPr>
        <w:rPr>
          <w:b/>
          <w:bCs/>
          <w:color w:val="000000"/>
          <w:shd w:val="clear" w:color="auto" w:fill="FFFFFF"/>
        </w:rPr>
      </w:pPr>
      <w:r w:rsidRPr="00820E43">
        <w:rPr>
          <w:b/>
          <w:bCs/>
          <w:color w:val="000000"/>
          <w:shd w:val="clear" w:color="auto" w:fill="FFFFFF"/>
        </w:rPr>
        <w:t>«</w:t>
      </w:r>
      <w:r>
        <w:rPr>
          <w:color w:val="000000"/>
          <w:shd w:val="clear" w:color="auto" w:fill="FFFFFF"/>
        </w:rPr>
        <w:t> </w:t>
      </w:r>
      <w:r w:rsidRPr="00820E43">
        <w:rPr>
          <w:b/>
          <w:bCs/>
          <w:color w:val="000000"/>
          <w:shd w:val="clear" w:color="auto" w:fill="FFFFFF"/>
        </w:rPr>
        <w:t>Observer les initiatives des élèves avec polyhandicap : une</w:t>
      </w:r>
    </w:p>
    <w:p w14:paraId="03A781D0" w14:textId="77777777" w:rsidR="00237A87" w:rsidRPr="00D926D0" w:rsidRDefault="00237A87" w:rsidP="00237A87">
      <w:pPr>
        <w:rPr>
          <w:color w:val="000000"/>
          <w:shd w:val="clear" w:color="auto" w:fill="FFFFFF"/>
        </w:rPr>
      </w:pPr>
      <w:proofErr w:type="gramStart"/>
      <w:r w:rsidRPr="00820E43">
        <w:rPr>
          <w:b/>
          <w:bCs/>
          <w:color w:val="000000"/>
          <w:shd w:val="clear" w:color="auto" w:fill="FFFFFF"/>
        </w:rPr>
        <w:t>approche</w:t>
      </w:r>
      <w:proofErr w:type="gramEnd"/>
      <w:r w:rsidRPr="00820E43">
        <w:rPr>
          <w:b/>
          <w:bCs/>
          <w:color w:val="000000"/>
          <w:shd w:val="clear" w:color="auto" w:fill="FFFFFF"/>
        </w:rPr>
        <w:t xml:space="preserve"> clinique des situations d'apprentissage</w:t>
      </w:r>
      <w:r>
        <w:rPr>
          <w:color w:val="000000"/>
          <w:shd w:val="clear" w:color="auto" w:fill="FFFFFF"/>
        </w:rPr>
        <w:t> </w:t>
      </w:r>
      <w:r w:rsidRPr="00820E43">
        <w:rPr>
          <w:b/>
          <w:bCs/>
          <w:color w:val="000000"/>
          <w:shd w:val="clear" w:color="auto" w:fill="FFFFFF"/>
        </w:rPr>
        <w:t>»</w:t>
      </w:r>
      <w:r w:rsidRPr="00D926D0">
        <w:rPr>
          <w:color w:val="000000"/>
          <w:shd w:val="clear" w:color="auto" w:fill="FFFFFF"/>
        </w:rPr>
        <w:t xml:space="preserve">, </w:t>
      </w:r>
      <w:proofErr w:type="gramStart"/>
      <w:r w:rsidRPr="00D926D0">
        <w:rPr>
          <w:color w:val="000000"/>
          <w:shd w:val="clear" w:color="auto" w:fill="FFFFFF"/>
        </w:rPr>
        <w:t>sous la</w:t>
      </w:r>
      <w:proofErr w:type="gramEnd"/>
    </w:p>
    <w:p w14:paraId="4C2BAF4D" w14:textId="77777777" w:rsidR="00237A87" w:rsidRPr="00D926D0" w:rsidRDefault="00237A87" w:rsidP="00237A87">
      <w:pPr>
        <w:rPr>
          <w:color w:val="000000"/>
          <w:shd w:val="clear" w:color="auto" w:fill="FFFFFF"/>
        </w:rPr>
      </w:pPr>
      <w:proofErr w:type="gramStart"/>
      <w:r w:rsidRPr="00D926D0">
        <w:rPr>
          <w:color w:val="000000"/>
          <w:shd w:val="clear" w:color="auto" w:fill="FFFFFF"/>
        </w:rPr>
        <w:t>direction</w:t>
      </w:r>
      <w:proofErr w:type="gramEnd"/>
      <w:r w:rsidRPr="00D926D0">
        <w:rPr>
          <w:color w:val="000000"/>
          <w:shd w:val="clear" w:color="auto" w:fill="FFFFFF"/>
        </w:rPr>
        <w:t xml:space="preserve"> de Minna </w:t>
      </w:r>
      <w:proofErr w:type="spellStart"/>
      <w:r w:rsidRPr="00D926D0">
        <w:rPr>
          <w:color w:val="000000"/>
          <w:shd w:val="clear" w:color="auto" w:fill="FFFFFF"/>
        </w:rPr>
        <w:t>Puustinen</w:t>
      </w:r>
      <w:proofErr w:type="spellEnd"/>
      <w:r>
        <w:rPr>
          <w:color w:val="000000"/>
          <w:shd w:val="clear" w:color="auto" w:fill="FFFFFF"/>
        </w:rPr>
        <w:t xml:space="preserve"> et</w:t>
      </w:r>
      <w:r w:rsidRPr="00D926D0">
        <w:rPr>
          <w:color w:val="000000"/>
          <w:shd w:val="clear" w:color="auto" w:fill="FFFFFF"/>
        </w:rPr>
        <w:t xml:space="preserve"> Danièle </w:t>
      </w:r>
      <w:proofErr w:type="spellStart"/>
      <w:r w:rsidRPr="00D926D0">
        <w:rPr>
          <w:color w:val="000000"/>
          <w:shd w:val="clear" w:color="auto" w:fill="FFFFFF"/>
        </w:rPr>
        <w:t>Toubert</w:t>
      </w:r>
      <w:proofErr w:type="spellEnd"/>
      <w:r w:rsidRPr="00D926D0">
        <w:rPr>
          <w:color w:val="000000"/>
          <w:shd w:val="clear" w:color="auto" w:fill="FFFFFF"/>
        </w:rPr>
        <w:t>-Duffort, sera</w:t>
      </w:r>
    </w:p>
    <w:p w14:paraId="42F0F34A" w14:textId="77777777" w:rsidR="00237A87" w:rsidRDefault="00237A87" w:rsidP="00237A87">
      <w:pPr>
        <w:rPr>
          <w:color w:val="000000"/>
          <w:shd w:val="clear" w:color="auto" w:fill="FFFFFF"/>
        </w:rPr>
      </w:pPr>
      <w:proofErr w:type="gramStart"/>
      <w:r w:rsidRPr="00D926D0">
        <w:rPr>
          <w:color w:val="000000"/>
          <w:shd w:val="clear" w:color="auto" w:fill="FFFFFF"/>
        </w:rPr>
        <w:t>publiée</w:t>
      </w:r>
      <w:proofErr w:type="gramEnd"/>
      <w:r w:rsidRPr="00D926D0">
        <w:rPr>
          <w:color w:val="000000"/>
          <w:shd w:val="clear" w:color="auto" w:fill="FFFFFF"/>
        </w:rPr>
        <w:t xml:space="preserve"> dans la collection Recherche des Éditions de l’INSEI</w:t>
      </w:r>
    </w:p>
    <w:p w14:paraId="75B1378C" w14:textId="03F83D68" w:rsidR="00237A87" w:rsidRPr="00781160" w:rsidRDefault="00237A87">
      <w:pPr>
        <w:rPr>
          <w:color w:val="000000"/>
          <w:shd w:val="clear" w:color="auto" w:fill="FFFFFF"/>
        </w:rPr>
      </w:pPr>
      <w:r>
        <w:rPr>
          <w:color w:val="000000"/>
          <w:shd w:val="clear" w:color="auto" w:fill="FFFFFF"/>
        </w:rPr>
        <w:t xml:space="preserve">Pour en savoir plus sur cette thèse : </w:t>
      </w:r>
      <w:hyperlink r:id="rId9" w:history="1">
        <w:r w:rsidRPr="00E66F39">
          <w:rPr>
            <w:rStyle w:val="Lienhypertexte"/>
            <w:shd w:val="clear" w:color="auto" w:fill="FFFFFF"/>
          </w:rPr>
          <w:t>https://theses.fr/2022PA100122</w:t>
        </w:r>
      </w:hyperlink>
    </w:p>
    <w:p w14:paraId="0AD1FCA8" w14:textId="51D99503" w:rsidR="002F15B7" w:rsidRDefault="00167C30">
      <w:pPr>
        <w:rPr>
          <w:b/>
          <w:bCs/>
          <w:color w:val="000000"/>
          <w:shd w:val="clear" w:color="auto" w:fill="FFFFFF"/>
        </w:rPr>
      </w:pPr>
      <w:r>
        <w:rPr>
          <w:b/>
          <w:bCs/>
          <w:color w:val="000000"/>
          <w:shd w:val="clear" w:color="auto" w:fill="FFFFFF"/>
        </w:rPr>
        <w:t xml:space="preserve">Le </w:t>
      </w:r>
      <w:r w:rsidR="00FA0D54">
        <w:rPr>
          <w:b/>
          <w:bCs/>
          <w:color w:val="000000"/>
          <w:shd w:val="clear" w:color="auto" w:fill="FFFFFF"/>
        </w:rPr>
        <w:t xml:space="preserve">Pôle recherche, valorisation, partenariat et relations internationales </w:t>
      </w:r>
      <w:proofErr w:type="gramStart"/>
      <w:r w:rsidR="00FA0D54">
        <w:rPr>
          <w:b/>
          <w:bCs/>
          <w:color w:val="000000"/>
          <w:shd w:val="clear" w:color="auto" w:fill="FFFFFF"/>
        </w:rPr>
        <w:t>a</w:t>
      </w:r>
      <w:proofErr w:type="gramEnd"/>
      <w:r w:rsidR="00FA0D54">
        <w:rPr>
          <w:b/>
          <w:bCs/>
          <w:color w:val="000000"/>
          <w:shd w:val="clear" w:color="auto" w:fill="FFFFFF"/>
        </w:rPr>
        <w:t xml:space="preserve"> une nouvelle collaboratrice !</w:t>
      </w:r>
    </w:p>
    <w:p w14:paraId="240D065F" w14:textId="3438BF2C" w:rsidR="002F15B7" w:rsidRDefault="00167C30">
      <w:r>
        <w:t xml:space="preserve">Elle s’appelle </w:t>
      </w:r>
      <w:r w:rsidR="00FA0D54" w:rsidRPr="00167C30">
        <w:rPr>
          <w:b/>
          <w:bCs/>
        </w:rPr>
        <w:t>Elisa Valentin</w:t>
      </w:r>
      <w:r>
        <w:t xml:space="preserve">. </w:t>
      </w:r>
      <w:r w:rsidR="00FA0D54">
        <w:t xml:space="preserve">Franco-argentine, diplômée d’un Master en planification de l’éducation, économie et développement international (UCL, Londres), </w:t>
      </w:r>
      <w:r>
        <w:t>elle est aussi</w:t>
      </w:r>
      <w:r w:rsidR="00FA0D54">
        <w:t xml:space="preserve"> certifiée TESOL (anglais langue étrangère). </w:t>
      </w:r>
      <w:r>
        <w:t>Elle a</w:t>
      </w:r>
      <w:r w:rsidR="00FA0D54">
        <w:t xml:space="preserve"> contribué à des projets de recherche, de partenariat et d’appui associatif en Afrique de l’Est (éducation et autonomisation), Colombie, Thaïlande et au Chili. </w:t>
      </w:r>
      <w:r>
        <w:t>Elle</w:t>
      </w:r>
      <w:r w:rsidR="00FA0D54">
        <w:t xml:space="preserve"> parle français, anglais, espagnol, et </w:t>
      </w:r>
      <w:r>
        <w:t>elle</w:t>
      </w:r>
      <w:r w:rsidR="00FA0D54">
        <w:t xml:space="preserve"> compte </w:t>
      </w:r>
      <w:r>
        <w:t>s</w:t>
      </w:r>
      <w:r w:rsidR="00FA0D54">
        <w:t>e remettre au mandarin !</w:t>
      </w:r>
      <w:r w:rsidR="00781160">
        <w:t xml:space="preserve"> </w:t>
      </w:r>
    </w:p>
    <w:p w14:paraId="7FFE7FA0" w14:textId="1505B633" w:rsidR="00781160" w:rsidRDefault="00781160">
      <w:r>
        <w:rPr>
          <w:noProof/>
        </w:rPr>
        <w:drawing>
          <wp:inline distT="0" distB="0" distL="0" distR="0" wp14:anchorId="172B74BB" wp14:editId="209CF119">
            <wp:extent cx="1842770" cy="1842770"/>
            <wp:effectExtent l="0" t="0" r="5080" b="5080"/>
            <wp:docPr id="1762590640" name="Image 1" descr="Image d'Elisa Valen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590640" name="Image 1" descr="Image d'Elisa Valent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2770" cy="1842770"/>
                    </a:xfrm>
                    <a:prstGeom prst="rect">
                      <a:avLst/>
                    </a:prstGeom>
                  </pic:spPr>
                </pic:pic>
              </a:graphicData>
            </a:graphic>
          </wp:inline>
        </w:drawing>
      </w:r>
    </w:p>
    <w:p w14:paraId="22BA29C1" w14:textId="77777777" w:rsidR="002F15B7" w:rsidRDefault="00FA0D54">
      <w:r>
        <w:br w:type="page" w:clear="all"/>
      </w:r>
    </w:p>
    <w:p w14:paraId="5AE09047" w14:textId="77777777" w:rsidR="002F15B7" w:rsidRDefault="00FA0D54" w:rsidP="00E665FE">
      <w:pPr>
        <w:pStyle w:val="Titre1"/>
      </w:pPr>
      <w:bookmarkStart w:id="7" w:name="_Toc211587435"/>
      <w:bookmarkStart w:id="8" w:name="_Toc189733261"/>
      <w:bookmarkStart w:id="9" w:name="_Toc189733342"/>
      <w:r w:rsidRPr="00A54D1C">
        <w:lastRenderedPageBreak/>
        <w:t>Rubrique</w:t>
      </w:r>
      <w:r>
        <w:t xml:space="preserve"> numéro 2 : Focus</w:t>
      </w:r>
      <w:bookmarkEnd w:id="7"/>
    </w:p>
    <w:p w14:paraId="740BD25A" w14:textId="3D4282F4" w:rsidR="002F15B7" w:rsidRDefault="00FA0D54">
      <w:pPr>
        <w:rPr>
          <w:b/>
          <w:bCs/>
        </w:rPr>
      </w:pPr>
      <w:r>
        <w:rPr>
          <w:b/>
          <w:bCs/>
        </w:rPr>
        <w:t>Nouveau</w:t>
      </w:r>
      <w:r w:rsidR="00F24A1F">
        <w:rPr>
          <w:b/>
          <w:bCs/>
        </w:rPr>
        <w:t>x</w:t>
      </w:r>
      <w:r>
        <w:rPr>
          <w:b/>
          <w:bCs/>
        </w:rPr>
        <w:t xml:space="preserve"> projet</w:t>
      </w:r>
      <w:r w:rsidR="00F24A1F">
        <w:rPr>
          <w:b/>
          <w:bCs/>
        </w:rPr>
        <w:t>s à l’INSEI</w:t>
      </w:r>
      <w:r>
        <w:rPr>
          <w:b/>
          <w:bCs/>
        </w:rPr>
        <w:t> !</w:t>
      </w:r>
    </w:p>
    <w:p w14:paraId="18ABCCFE" w14:textId="304FE64A" w:rsidR="00F24A1F" w:rsidRPr="00E665FE" w:rsidRDefault="00F24A1F" w:rsidP="00E665FE">
      <w:pPr>
        <w:pStyle w:val="Titre2"/>
      </w:pPr>
      <w:r w:rsidRPr="00E665FE">
        <w:t>Côté recherche…</w:t>
      </w:r>
    </w:p>
    <w:p w14:paraId="0491A961" w14:textId="2114AD38" w:rsidR="002F15B7" w:rsidRDefault="00167C30" w:rsidP="00EC101A">
      <w:r>
        <w:rPr>
          <w:noProof/>
        </w:rPr>
        <w:drawing>
          <wp:inline distT="0" distB="0" distL="0" distR="0" wp14:anchorId="31460A5F" wp14:editId="166E1831">
            <wp:extent cx="5324475" cy="2995017"/>
            <wp:effectExtent l="0" t="0" r="0" b="0"/>
            <wp:docPr id="1478766268" name="Graphique 1" descr="Affiche de présentation du projet. CY Générations. 2025 Research projets. Compétences des futurs enseignants dans l'évaluation de l'information sur l'éducation inclusive. Mônica Macedo-Rouet - Learning Transitions (LT). Mina Puustinen) Grappes. Logos de Cergy université, Learning Planet institut, INSEI Grappes et Franc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766268" name="Graphique 1" descr="Affiche de présentation du projet. CY Générations. 2025 Research projets. Compétences des futurs enseignants dans l'évaluation de l'information sur l'éducation inclusive. Mônica Macedo-Rouet - Learning Transitions (LT). Mina Puustinen) Grappes. Logos de Cergy université, Learning Planet institut, INSEI Grappes et France 2023."/>
                    <pic:cNvPicPr/>
                  </pic:nvPicPr>
                  <pic:blipFill>
                    <a:blip r:embed="rId11">
                      <a:extLst>
                        <a:ext uri="{96DAC541-7B7A-43D3-8B79-37D633B846F1}">
                          <asvg:svgBlip xmlns:asvg="http://schemas.microsoft.com/office/drawing/2016/SVG/main" r:embed="rId12"/>
                        </a:ext>
                      </a:extLst>
                    </a:blip>
                    <a:stretch>
                      <a:fillRect/>
                    </a:stretch>
                  </pic:blipFill>
                  <pic:spPr>
                    <a:xfrm>
                      <a:off x="0" y="0"/>
                      <a:ext cx="5330643" cy="2998486"/>
                    </a:xfrm>
                    <a:prstGeom prst="rect">
                      <a:avLst/>
                    </a:prstGeom>
                  </pic:spPr>
                </pic:pic>
              </a:graphicData>
            </a:graphic>
          </wp:inline>
        </w:drawing>
      </w:r>
    </w:p>
    <w:p w14:paraId="631BAA41" w14:textId="671D29BB" w:rsidR="002F15B7" w:rsidRDefault="00FA0D54">
      <w:pPr>
        <w:numPr>
          <w:ilvl w:val="0"/>
          <w:numId w:val="30"/>
        </w:numPr>
        <w:spacing w:after="0"/>
        <w:ind w:left="1080"/>
        <w:contextualSpacing/>
        <w:rPr>
          <w:rFonts w:eastAsia="Times New Roman" w:cs="Times New Roman"/>
          <w:lang w:eastAsia="fr-FR"/>
        </w:rPr>
      </w:pPr>
      <w:r>
        <w:rPr>
          <w:rFonts w:eastAsiaTheme="minorEastAsia"/>
          <w:b/>
          <w:bCs/>
          <w:color w:val="000000" w:themeColor="text1"/>
          <w:lang w:eastAsia="fr-FR"/>
        </w:rPr>
        <w:t>Objectif</w:t>
      </w:r>
      <w:r>
        <w:rPr>
          <w:rFonts w:eastAsiaTheme="minorEastAsia"/>
          <w:color w:val="000000" w:themeColor="text1"/>
          <w:lang w:eastAsia="fr-FR"/>
        </w:rPr>
        <w:t xml:space="preserve"> : </w:t>
      </w:r>
      <w:r w:rsidR="00980375">
        <w:rPr>
          <w:rFonts w:eastAsiaTheme="minorEastAsia"/>
          <w:color w:val="000000" w:themeColor="text1"/>
          <w:lang w:eastAsia="fr-FR"/>
        </w:rPr>
        <w:t>D</w:t>
      </w:r>
      <w:r>
        <w:rPr>
          <w:rFonts w:eastAsiaTheme="minorEastAsia"/>
          <w:color w:val="000000" w:themeColor="text1"/>
          <w:lang w:eastAsia="fr-FR"/>
        </w:rPr>
        <w:t>évelopper et valider un outil de mesure des compétences des futurs enseignants dans le domaine de l’évaluation de l’information sur l’éducation inclusive</w:t>
      </w:r>
      <w:r w:rsidR="00E665FE">
        <w:rPr>
          <w:rFonts w:eastAsiaTheme="minorEastAsia"/>
          <w:color w:val="000000" w:themeColor="text1"/>
          <w:lang w:eastAsia="fr-FR"/>
        </w:rPr>
        <w:t>.</w:t>
      </w:r>
    </w:p>
    <w:p w14:paraId="375F6C69" w14:textId="3E157FE3" w:rsidR="002F15B7" w:rsidRDefault="00FA0D54">
      <w:pPr>
        <w:numPr>
          <w:ilvl w:val="0"/>
          <w:numId w:val="30"/>
        </w:numPr>
        <w:spacing w:after="0"/>
        <w:ind w:left="1080"/>
        <w:contextualSpacing/>
        <w:rPr>
          <w:rFonts w:eastAsia="Times New Roman" w:cs="Times New Roman"/>
          <w:lang w:eastAsia="fr-FR"/>
        </w:rPr>
      </w:pPr>
      <w:r>
        <w:rPr>
          <w:rFonts w:eastAsiaTheme="minorEastAsia"/>
          <w:b/>
          <w:bCs/>
          <w:color w:val="000000" w:themeColor="text1"/>
          <w:lang w:eastAsia="fr-FR"/>
        </w:rPr>
        <w:t>ODD</w:t>
      </w:r>
      <w:r w:rsidR="00167C30">
        <w:rPr>
          <w:rFonts w:eastAsiaTheme="minorEastAsia"/>
          <w:b/>
          <w:bCs/>
          <w:color w:val="000000" w:themeColor="text1"/>
          <w:lang w:eastAsia="fr-FR"/>
        </w:rPr>
        <w:t xml:space="preserve"> (</w:t>
      </w:r>
      <w:r w:rsidR="00167C30" w:rsidRPr="00167C30">
        <w:rPr>
          <w:rFonts w:eastAsiaTheme="minorEastAsia"/>
          <w:b/>
          <w:bCs/>
          <w:color w:val="000000" w:themeColor="text1"/>
          <w:lang w:eastAsia="fr-FR"/>
        </w:rPr>
        <w:t>objectif de développement durable</w:t>
      </w:r>
      <w:r w:rsidR="00167C30">
        <w:rPr>
          <w:rFonts w:eastAsiaTheme="minorEastAsia"/>
          <w:b/>
          <w:bCs/>
          <w:color w:val="000000" w:themeColor="text1"/>
          <w:lang w:eastAsia="fr-FR"/>
        </w:rPr>
        <w:t>)</w:t>
      </w:r>
      <w:r>
        <w:rPr>
          <w:rFonts w:eastAsiaTheme="minorEastAsia"/>
          <w:b/>
          <w:bCs/>
          <w:color w:val="000000" w:themeColor="text1"/>
          <w:lang w:eastAsia="fr-FR"/>
        </w:rPr>
        <w:t xml:space="preserve"> 4 </w:t>
      </w:r>
      <w:r>
        <w:rPr>
          <w:rFonts w:eastAsiaTheme="minorEastAsia"/>
          <w:color w:val="000000" w:themeColor="text1"/>
          <w:lang w:eastAsia="fr-FR"/>
        </w:rPr>
        <w:t>: Assurer l’accès de tous à une éducation de qualité, sur un pied d’égalité</w:t>
      </w:r>
      <w:r w:rsidR="00E665FE">
        <w:rPr>
          <w:rFonts w:eastAsiaTheme="minorEastAsia"/>
          <w:color w:val="000000" w:themeColor="text1"/>
          <w:lang w:eastAsia="fr-FR"/>
        </w:rPr>
        <w:t>.</w:t>
      </w:r>
    </w:p>
    <w:p w14:paraId="62CEC817" w14:textId="77777777" w:rsidR="002F15B7" w:rsidRDefault="00FA0D54">
      <w:pPr>
        <w:numPr>
          <w:ilvl w:val="0"/>
          <w:numId w:val="30"/>
        </w:numPr>
        <w:spacing w:after="0"/>
        <w:ind w:left="1080"/>
        <w:contextualSpacing/>
        <w:rPr>
          <w:rFonts w:eastAsia="Times New Roman" w:cs="Times New Roman"/>
          <w:lang w:eastAsia="fr-FR"/>
        </w:rPr>
      </w:pPr>
      <w:r>
        <w:rPr>
          <w:rFonts w:eastAsiaTheme="minorEastAsia"/>
          <w:b/>
          <w:bCs/>
          <w:color w:val="000000" w:themeColor="text1"/>
          <w:lang w:eastAsia="fr-FR"/>
        </w:rPr>
        <w:t xml:space="preserve">Trois phases </w:t>
      </w:r>
      <w:r>
        <w:rPr>
          <w:rFonts w:eastAsiaTheme="minorEastAsia"/>
          <w:color w:val="000000" w:themeColor="text1"/>
          <w:lang w:eastAsia="fr-FR"/>
        </w:rPr>
        <w:t>:</w:t>
      </w:r>
    </w:p>
    <w:p w14:paraId="31DF134A" w14:textId="04FCC96F" w:rsidR="002F15B7" w:rsidRDefault="00FA0D54">
      <w:pPr>
        <w:numPr>
          <w:ilvl w:val="1"/>
          <w:numId w:val="30"/>
        </w:numPr>
        <w:spacing w:after="0"/>
        <w:ind w:left="2880"/>
        <w:contextualSpacing/>
        <w:rPr>
          <w:rFonts w:eastAsia="Times New Roman" w:cs="Times New Roman"/>
          <w:lang w:eastAsia="fr-FR"/>
        </w:rPr>
      </w:pPr>
      <w:r>
        <w:rPr>
          <w:rFonts w:eastAsiaTheme="minorEastAsia"/>
          <w:color w:val="000000" w:themeColor="text1"/>
          <w:lang w:eastAsia="fr-FR"/>
        </w:rPr>
        <w:t>Revue systématique de littérature</w:t>
      </w:r>
      <w:r w:rsidR="00E665FE">
        <w:rPr>
          <w:rFonts w:eastAsiaTheme="minorEastAsia"/>
          <w:color w:val="000000" w:themeColor="text1"/>
          <w:lang w:eastAsia="fr-FR"/>
        </w:rPr>
        <w:t>.</w:t>
      </w:r>
    </w:p>
    <w:p w14:paraId="55F3DE2A" w14:textId="70C85421" w:rsidR="002F15B7" w:rsidRDefault="00FA0D54">
      <w:pPr>
        <w:numPr>
          <w:ilvl w:val="1"/>
          <w:numId w:val="30"/>
        </w:numPr>
        <w:spacing w:after="0"/>
        <w:ind w:left="2880"/>
        <w:contextualSpacing/>
        <w:rPr>
          <w:rFonts w:eastAsia="Times New Roman" w:cs="Times New Roman"/>
          <w:lang w:eastAsia="fr-FR"/>
        </w:rPr>
      </w:pPr>
      <w:r>
        <w:rPr>
          <w:rFonts w:eastAsiaTheme="minorEastAsia"/>
          <w:color w:val="000000" w:themeColor="text1"/>
          <w:lang w:eastAsia="fr-FR"/>
        </w:rPr>
        <w:t>Co-construction des tâches d’évaluation avec des enseignants</w:t>
      </w:r>
      <w:r w:rsidR="00E665FE">
        <w:rPr>
          <w:rFonts w:eastAsiaTheme="minorEastAsia"/>
          <w:color w:val="000000" w:themeColor="text1"/>
          <w:lang w:eastAsia="fr-FR"/>
        </w:rPr>
        <w:t>.</w:t>
      </w:r>
    </w:p>
    <w:p w14:paraId="079EDAC3" w14:textId="505067A7" w:rsidR="002F15B7" w:rsidRDefault="00FA0D54">
      <w:pPr>
        <w:numPr>
          <w:ilvl w:val="1"/>
          <w:numId w:val="30"/>
        </w:numPr>
        <w:spacing w:after="0"/>
        <w:ind w:left="2880"/>
        <w:contextualSpacing/>
        <w:rPr>
          <w:rFonts w:eastAsia="Times New Roman" w:cs="Times New Roman"/>
          <w:lang w:eastAsia="fr-FR"/>
        </w:rPr>
      </w:pPr>
      <w:r>
        <w:rPr>
          <w:rFonts w:eastAsiaTheme="minorEastAsia"/>
          <w:color w:val="000000" w:themeColor="text1"/>
          <w:lang w:eastAsia="fr-FR"/>
        </w:rPr>
        <w:t>Validation psychométrique auprès d’étudiants de l’</w:t>
      </w:r>
      <w:proofErr w:type="spellStart"/>
      <w:r>
        <w:rPr>
          <w:rFonts w:eastAsiaTheme="minorEastAsia"/>
          <w:color w:val="000000" w:themeColor="text1"/>
          <w:lang w:eastAsia="fr-FR"/>
        </w:rPr>
        <w:t>Inspé</w:t>
      </w:r>
      <w:proofErr w:type="spellEnd"/>
      <w:r w:rsidR="00E665FE">
        <w:rPr>
          <w:rFonts w:eastAsiaTheme="minorEastAsia"/>
          <w:color w:val="000000" w:themeColor="text1"/>
          <w:lang w:eastAsia="fr-FR"/>
        </w:rPr>
        <w:t>.</w:t>
      </w:r>
    </w:p>
    <w:p w14:paraId="743B14B9" w14:textId="37A560A3" w:rsidR="002F15B7" w:rsidRDefault="00FA0D54">
      <w:pPr>
        <w:numPr>
          <w:ilvl w:val="0"/>
          <w:numId w:val="30"/>
        </w:numPr>
        <w:spacing w:after="0"/>
        <w:ind w:left="1080"/>
        <w:contextualSpacing/>
        <w:rPr>
          <w:rFonts w:eastAsia="Times New Roman" w:cs="Times New Roman"/>
          <w:lang w:eastAsia="fr-FR"/>
        </w:rPr>
      </w:pPr>
      <w:r>
        <w:rPr>
          <w:rFonts w:eastAsiaTheme="minorEastAsia"/>
          <w:color w:val="000000" w:themeColor="text1"/>
          <w:lang w:eastAsia="fr-FR"/>
        </w:rPr>
        <w:t>Équipe internationale de 13 chercheurs</w:t>
      </w:r>
      <w:r w:rsidR="00E665FE">
        <w:rPr>
          <w:rFonts w:eastAsiaTheme="minorEastAsia"/>
          <w:color w:val="000000" w:themeColor="text1"/>
          <w:lang w:eastAsia="fr-FR"/>
        </w:rPr>
        <w:t>.</w:t>
      </w:r>
    </w:p>
    <w:p w14:paraId="1996EBA7" w14:textId="5E79276D" w:rsidR="002F15B7" w:rsidRDefault="00FA0D54">
      <w:pPr>
        <w:numPr>
          <w:ilvl w:val="0"/>
          <w:numId w:val="30"/>
        </w:numPr>
        <w:spacing w:after="0"/>
        <w:ind w:left="1080"/>
        <w:contextualSpacing/>
        <w:rPr>
          <w:rFonts w:eastAsia="Times New Roman" w:cs="Times New Roman"/>
          <w:lang w:eastAsia="fr-FR"/>
        </w:rPr>
      </w:pPr>
      <w:r>
        <w:rPr>
          <w:rFonts w:eastAsiaTheme="minorEastAsia"/>
          <w:color w:val="000000" w:themeColor="text1"/>
          <w:lang w:eastAsia="fr-FR"/>
        </w:rPr>
        <w:t>Perspective de soumission à l’AAP ANR-DFG 2026-2027</w:t>
      </w:r>
      <w:r w:rsidR="00E665FE">
        <w:rPr>
          <w:rFonts w:eastAsiaTheme="minorEastAsia"/>
          <w:color w:val="000000" w:themeColor="text1"/>
          <w:lang w:eastAsia="fr-FR"/>
        </w:rPr>
        <w:t>.</w:t>
      </w:r>
    </w:p>
    <w:p w14:paraId="04F73AD1" w14:textId="77777777" w:rsidR="00F24A1F" w:rsidRDefault="00FA0D54">
      <w:pPr>
        <w:spacing w:after="0"/>
        <w:contextualSpacing/>
      </w:pPr>
      <w:r>
        <w:rPr>
          <w:rFonts w:eastAsiaTheme="minorEastAsia"/>
          <w:b/>
          <w:bCs/>
          <w:color w:val="000000" w:themeColor="text1"/>
          <w:lang w:eastAsia="fr-FR"/>
        </w:rPr>
        <w:t>C</w:t>
      </w:r>
      <w:r>
        <w:rPr>
          <w:b/>
          <w:bCs/>
        </w:rPr>
        <w:t xml:space="preserve">ontact : </w:t>
      </w:r>
      <w:hyperlink r:id="rId13" w:tooltip="mailto:monica.macedo@cyu.fr" w:history="1">
        <w:r>
          <w:rPr>
            <w:rStyle w:val="Lienhypertexte"/>
          </w:rPr>
          <w:t>monica.macedo@cyu.fr</w:t>
        </w:r>
      </w:hyperlink>
      <w:r>
        <w:t xml:space="preserve">, </w:t>
      </w:r>
      <w:hyperlink r:id="rId14" w:tooltip="mailto:minna.puustinen@insei.fr" w:history="1">
        <w:r>
          <w:rPr>
            <w:rStyle w:val="Lienhypertexte"/>
          </w:rPr>
          <w:t>minna.puustinen@insei.fr</w:t>
        </w:r>
      </w:hyperlink>
      <w:r>
        <w:t xml:space="preserve"> </w:t>
      </w:r>
    </w:p>
    <w:p w14:paraId="18EB7DEF" w14:textId="677DA746" w:rsidR="00F24A1F" w:rsidRDefault="00F24A1F" w:rsidP="00046441">
      <w:pPr>
        <w:pStyle w:val="Titre2"/>
      </w:pPr>
      <w:r>
        <w:lastRenderedPageBreak/>
        <w:t>Côté relations internationales…</w:t>
      </w:r>
    </w:p>
    <w:p w14:paraId="6005215D" w14:textId="65C985D3" w:rsidR="00F24A1F" w:rsidRPr="00383007" w:rsidRDefault="00F24A1F" w:rsidP="00F24A1F">
      <w:pPr>
        <w:spacing w:after="0"/>
      </w:pPr>
      <w:r>
        <w:t xml:space="preserve">L’INSEI a décroché trois projets de </w:t>
      </w:r>
      <w:r w:rsidRPr="00F24A1F">
        <w:rPr>
          <w:b/>
          <w:bCs/>
        </w:rPr>
        <w:t>mobilités internationales</w:t>
      </w:r>
      <w:r>
        <w:rPr>
          <w:b/>
          <w:bCs/>
        </w:rPr>
        <w:t xml:space="preserve"> </w:t>
      </w:r>
      <w:r w:rsidRPr="00801F3C">
        <w:rPr>
          <w:b/>
          <w:bCs/>
        </w:rPr>
        <w:t>E</w:t>
      </w:r>
      <w:r w:rsidR="002102C0">
        <w:rPr>
          <w:b/>
          <w:bCs/>
        </w:rPr>
        <w:t>rasmus</w:t>
      </w:r>
      <w:r w:rsidRPr="00801F3C">
        <w:rPr>
          <w:b/>
          <w:bCs/>
        </w:rPr>
        <w:t>+</w:t>
      </w:r>
      <w:r>
        <w:rPr>
          <w:b/>
          <w:bCs/>
        </w:rPr>
        <w:t xml:space="preserve"> (2025-2028)</w:t>
      </w:r>
      <w:r>
        <w:t xml:space="preserve">, avec le </w:t>
      </w:r>
      <w:r w:rsidRPr="009D6C3D">
        <w:rPr>
          <w:b/>
          <w:bCs/>
        </w:rPr>
        <w:t>Cameroun</w:t>
      </w:r>
      <w:r>
        <w:t xml:space="preserve">, le </w:t>
      </w:r>
      <w:r w:rsidRPr="009D6C3D">
        <w:rPr>
          <w:b/>
          <w:bCs/>
        </w:rPr>
        <w:t>Gabon</w:t>
      </w:r>
      <w:r>
        <w:t xml:space="preserve"> et la </w:t>
      </w:r>
      <w:r w:rsidRPr="009D6C3D">
        <w:rPr>
          <w:b/>
          <w:bCs/>
        </w:rPr>
        <w:t>Guinée</w:t>
      </w:r>
      <w:r>
        <w:t>, pour un montant total de 130 000</w:t>
      </w:r>
      <w:r>
        <w:rPr>
          <w:vertAlign w:val="superscript"/>
        </w:rPr>
        <w:t xml:space="preserve"> </w:t>
      </w:r>
      <w:r>
        <w:t xml:space="preserve">€ environ. Ces projets permettront pendant une durée de 3 ans d’organiser des mobilités entrantes et sortantes de formation et d’enseignement ainsi que des mobilités étudiantes de stage ou d’études, avec pour objectifs principaux d’améliorer la formation des enseignants et l’éducation inclusive dans lesdits pays </w:t>
      </w:r>
      <w:r w:rsidRPr="00EC6C87">
        <w:t>et l’échange de bonnes pratiques entre les pays</w:t>
      </w:r>
      <w:r>
        <w:t xml:space="preserve"> partenaires</w:t>
      </w:r>
      <w:r w:rsidRPr="00EC6C87">
        <w:t>.</w:t>
      </w:r>
      <w:r>
        <w:t xml:space="preserve"> Les réunions de lancement de ces trois projets en cours</w:t>
      </w:r>
      <w:r w:rsidR="002102C0">
        <w:t xml:space="preserve"> p</w:t>
      </w:r>
      <w:r>
        <w:t xml:space="preserve">ermettront d’affiner les priorités pédagogiques et de fixer le calendrier de travail. </w:t>
      </w:r>
    </w:p>
    <w:p w14:paraId="1BDA463A" w14:textId="77777777" w:rsidR="00F24A1F" w:rsidRDefault="00F24A1F" w:rsidP="00E665FE">
      <w:r w:rsidRPr="00EC6C87">
        <w:rPr>
          <w:noProof/>
        </w:rPr>
        <w:drawing>
          <wp:inline distT="0" distB="0" distL="0" distR="0" wp14:anchorId="1205AB6F" wp14:editId="39FAEBBF">
            <wp:extent cx="2596164" cy="560618"/>
            <wp:effectExtent l="0" t="0" r="0" b="0"/>
            <wp:docPr id="1196432959" name="Image 2" descr="Logo Erasmus +.&#10;Drapeau bleu foncé décoré d'étoiles jaunes, suivi du mot Erasmus + (lettres bleues, symbole +). "/>
            <wp:cNvGraphicFramePr/>
            <a:graphic xmlns:a="http://schemas.openxmlformats.org/drawingml/2006/main">
              <a:graphicData uri="http://schemas.openxmlformats.org/drawingml/2006/picture">
                <pic:pic xmlns:pic="http://schemas.openxmlformats.org/drawingml/2006/picture">
                  <pic:nvPicPr>
                    <pic:cNvPr id="1196432959" name="Image 2" descr="Logo Erasmus +.&#10;Drapeau bleu foncé décoré d'étoiles jaunes, suivi du mot Erasmus + (lettres bleues, symbole +). "/>
                    <pic:cNvPicPr/>
                  </pic:nvPicPr>
                  <pic:blipFill>
                    <a:blip r:embed="rId15"/>
                    <a:srcRect/>
                    <a:stretch>
                      <a:fillRect/>
                    </a:stretch>
                  </pic:blipFill>
                  <pic:spPr>
                    <a:xfrm>
                      <a:off x="0" y="0"/>
                      <a:ext cx="2596164" cy="560618"/>
                    </a:xfrm>
                    <a:prstGeom prst="rect">
                      <a:avLst/>
                    </a:prstGeom>
                    <a:noFill/>
                    <a:ln>
                      <a:noFill/>
                      <a:prstDash/>
                    </a:ln>
                  </pic:spPr>
                </pic:pic>
              </a:graphicData>
            </a:graphic>
          </wp:inline>
        </w:drawing>
      </w:r>
    </w:p>
    <w:p w14:paraId="7693753D" w14:textId="724745C7" w:rsidR="00F24A1F" w:rsidRPr="00F24A1F" w:rsidRDefault="00F24A1F" w:rsidP="00F24A1F">
      <w:pPr>
        <w:rPr>
          <w:b/>
          <w:bCs/>
        </w:rPr>
      </w:pPr>
      <w:r>
        <w:rPr>
          <w:b/>
          <w:bCs/>
        </w:rPr>
        <w:t xml:space="preserve">Personnes impliquées : </w:t>
      </w:r>
      <w:r w:rsidRPr="00F24A1F">
        <w:t xml:space="preserve">Zineb </w:t>
      </w:r>
      <w:proofErr w:type="spellStart"/>
      <w:r w:rsidRPr="00F24A1F">
        <w:t>Rachedi</w:t>
      </w:r>
      <w:proofErr w:type="spellEnd"/>
      <w:r w:rsidRPr="00F24A1F">
        <w:t xml:space="preserve">, Isabelle </w:t>
      </w:r>
      <w:proofErr w:type="spellStart"/>
      <w:r w:rsidRPr="00F24A1F">
        <w:t>Rigoni</w:t>
      </w:r>
      <w:proofErr w:type="spellEnd"/>
      <w:r w:rsidRPr="00F24A1F">
        <w:t xml:space="preserve">, Frédéric </w:t>
      </w:r>
      <w:proofErr w:type="spellStart"/>
      <w:r w:rsidRPr="00F24A1F">
        <w:t>Reichhart</w:t>
      </w:r>
      <w:proofErr w:type="spellEnd"/>
      <w:r w:rsidRPr="00F24A1F">
        <w:t>, Magali Duprat et Marie José Pagnon (doctorante).</w:t>
      </w:r>
    </w:p>
    <w:p w14:paraId="6DA4C0F8" w14:textId="1B98275D" w:rsidR="002F15B7" w:rsidRDefault="00FA0D54">
      <w:pPr>
        <w:spacing w:after="0"/>
        <w:contextualSpacing/>
      </w:pPr>
      <w:r>
        <w:br w:type="page" w:clear="all"/>
      </w:r>
    </w:p>
    <w:p w14:paraId="648BCA60" w14:textId="77777777" w:rsidR="002F15B7" w:rsidRDefault="00FA0D54">
      <w:pPr>
        <w:pStyle w:val="Titre1"/>
      </w:pPr>
      <w:bookmarkStart w:id="10" w:name="_Toc211587436"/>
      <w:r>
        <w:lastRenderedPageBreak/>
        <w:t>Rubrique numéro 3 : Appel à projets</w:t>
      </w:r>
      <w:bookmarkEnd w:id="8"/>
      <w:bookmarkEnd w:id="9"/>
      <w:bookmarkEnd w:id="10"/>
    </w:p>
    <w:p w14:paraId="5D3448FE" w14:textId="56B2E8BD" w:rsidR="002F15B7" w:rsidRDefault="00FA0D54" w:rsidP="004224E0">
      <w:pPr>
        <w:spacing w:after="120"/>
      </w:pPr>
      <w:r>
        <w:t>L’</w:t>
      </w:r>
      <w:proofErr w:type="spellStart"/>
      <w:r>
        <w:rPr>
          <w:b/>
          <w:bCs/>
        </w:rPr>
        <w:t>IReSP</w:t>
      </w:r>
      <w:proofErr w:type="spellEnd"/>
      <w:r>
        <w:rPr>
          <w:b/>
          <w:bCs/>
        </w:rPr>
        <w:t xml:space="preserve"> </w:t>
      </w:r>
      <w:r>
        <w:t xml:space="preserve">(Institut pour la </w:t>
      </w:r>
      <w:r w:rsidR="003446F6">
        <w:t>r</w:t>
      </w:r>
      <w:r>
        <w:t xml:space="preserve">echerche en </w:t>
      </w:r>
      <w:r w:rsidR="003446F6">
        <w:t>s</w:t>
      </w:r>
      <w:r>
        <w:t xml:space="preserve">anté </w:t>
      </w:r>
      <w:r w:rsidR="003446F6">
        <w:t>p</w:t>
      </w:r>
      <w:r>
        <w:t xml:space="preserve">ublique) apporte son soutien à des </w:t>
      </w:r>
      <w:r>
        <w:rPr>
          <w:b/>
          <w:bCs/>
        </w:rPr>
        <w:t>manifestations scientifiques</w:t>
      </w:r>
      <w:r>
        <w:t xml:space="preserve"> en santé publique. Cette subvention n’excède pas </w:t>
      </w:r>
      <w:r w:rsidRPr="00E665FE">
        <w:t>5</w:t>
      </w:r>
      <w:r w:rsidR="00E665FE">
        <w:t> </w:t>
      </w:r>
      <w:r w:rsidRPr="00E665FE">
        <w:t>000</w:t>
      </w:r>
      <w:r>
        <w:t xml:space="preserve"> €, elle finance uniquement des dépenses de fonctionnement. Toute demande de subvention doit être envoyée complète au maximum 3 mois avant la date de l’évènement.</w:t>
      </w:r>
      <w:r w:rsidR="008008A1">
        <w:t xml:space="preserve"> </w:t>
      </w:r>
      <w:r w:rsidR="008008A1">
        <w:br/>
      </w:r>
      <w:r>
        <w:t xml:space="preserve">Pour en savoir plus : </w:t>
      </w:r>
      <w:hyperlink r:id="rId16" w:tooltip="https://iresp.net/financements/demandes-de-subvention/" w:history="1">
        <w:r>
          <w:rPr>
            <w:rStyle w:val="Lienhypertexte"/>
          </w:rPr>
          <w:t>https://iresp.net/financements/demandes-de-subvention/</w:t>
        </w:r>
      </w:hyperlink>
    </w:p>
    <w:p w14:paraId="0C858477" w14:textId="6B1D9EEE" w:rsidR="00942F5C" w:rsidRPr="00BC2166" w:rsidRDefault="00FA0D54" w:rsidP="00BC2166">
      <w:pPr>
        <w:spacing w:after="240"/>
        <w:rPr>
          <w:rStyle w:val="Lienhypertexte"/>
          <w:b/>
          <w:bCs/>
          <w:color w:val="auto"/>
          <w:u w:val="none"/>
        </w:rPr>
      </w:pPr>
      <w:r>
        <w:t>L’</w:t>
      </w:r>
      <w:r>
        <w:rPr>
          <w:b/>
          <w:bCs/>
        </w:rPr>
        <w:t xml:space="preserve">ANCT </w:t>
      </w:r>
      <w:r>
        <w:t>(Agence nationale de la cohésion des territoires)</w:t>
      </w:r>
      <w:r>
        <w:rPr>
          <w:b/>
          <w:bCs/>
        </w:rPr>
        <w:t xml:space="preserve"> </w:t>
      </w:r>
      <w:r>
        <w:t>et</w:t>
      </w:r>
      <w:r>
        <w:rPr>
          <w:b/>
          <w:bCs/>
        </w:rPr>
        <w:t xml:space="preserve"> </w:t>
      </w:r>
      <w:r>
        <w:t>la</w:t>
      </w:r>
      <w:r>
        <w:rPr>
          <w:b/>
          <w:bCs/>
        </w:rPr>
        <w:t xml:space="preserve"> DGESCO </w:t>
      </w:r>
      <w:r>
        <w:t>(Direction générale de l’enseignement scolaire) proposent un appel</w:t>
      </w:r>
      <w:r>
        <w:rPr>
          <w:b/>
          <w:bCs/>
        </w:rPr>
        <w:t xml:space="preserve"> « les Cités éducatives » </w:t>
      </w:r>
      <w:r>
        <w:t>visant à intensifier les prises en charges éducatives des enfants et des jeunes, de 0 à 25 ans, avant, pendant, autour et après le cadre scolaire. Cet appel est</w:t>
      </w:r>
      <w:r w:rsidR="002102C0">
        <w:t xml:space="preserve"> ouvert</w:t>
      </w:r>
      <w:r>
        <w:t xml:space="preserve"> au fil de l’eau.</w:t>
      </w:r>
      <w:r w:rsidR="00BC2166">
        <w:rPr>
          <w:b/>
          <w:bCs/>
        </w:rPr>
        <w:br/>
      </w:r>
      <w:r>
        <w:t xml:space="preserve">Pour en savoir plus : </w:t>
      </w:r>
      <w:hyperlink r:id="rId17" w:tooltip="https://anct.gouv.fr/programmes-dispositifs/politique-de-la-ville/dispositifs/cites-educatives" w:history="1">
        <w:r w:rsidRPr="005B1399">
          <w:rPr>
            <w:rStyle w:val="Lienhypertexte"/>
          </w:rPr>
          <w:t>https://anct.gouv.fr/programmes-dispositifs/politique-de-la-ville/dispositifs/cites-educatives</w:t>
        </w:r>
      </w:hyperlink>
    </w:p>
    <w:p w14:paraId="209E8559" w14:textId="0FBE285D" w:rsidR="002F15B7" w:rsidRDefault="00FA0D54" w:rsidP="0023465D">
      <w:pPr>
        <w:spacing w:after="240"/>
      </w:pPr>
      <w:r>
        <w:t>L’</w:t>
      </w:r>
      <w:r>
        <w:rPr>
          <w:b/>
        </w:rPr>
        <w:t>ANR</w:t>
      </w:r>
      <w:r>
        <w:t xml:space="preserve"> (Agence nationale de la recherche) propose un appel à projets </w:t>
      </w:r>
      <w:proofErr w:type="spellStart"/>
      <w:r w:rsidRPr="0023465D">
        <w:rPr>
          <w:b/>
          <w:bCs/>
        </w:rPr>
        <w:t>Choose</w:t>
      </w:r>
      <w:proofErr w:type="spellEnd"/>
      <w:r w:rsidRPr="0023465D">
        <w:rPr>
          <w:b/>
          <w:bCs/>
        </w:rPr>
        <w:t xml:space="preserve"> France for Science</w:t>
      </w:r>
      <w:r>
        <w:t>. Ce programme de chaires d’excellence à destination des chercheuses et chercheurs et ingénieurs de très haut niveau exerçant leurs activités à l’étranger a pour objectif de leur offrir des financements pour mener en France de nouveaux projets d’envergure sur une durée de 3 ans. Cet appel est ouvert au fil de l’eau.</w:t>
      </w:r>
      <w:r w:rsidR="0023465D">
        <w:t xml:space="preserve"> </w:t>
      </w:r>
      <w:r w:rsidR="0023465D">
        <w:br/>
      </w:r>
      <w:r>
        <w:t xml:space="preserve">Pour en savoir plus : </w:t>
      </w:r>
      <w:hyperlink r:id="rId18" w:tooltip="https://anr.fr/fr/france-2030/france2030/call/choose-france-for-science-appel-a-manifestation-dinteret-2025/" w:history="1">
        <w:r>
          <w:rPr>
            <w:rStyle w:val="Lienhypertexte"/>
          </w:rPr>
          <w:t>https://anr.fr/fr/france-2030/france2030/call/choose-france-for-science-appel-a-manifestation-dinteret-2025/</w:t>
        </w:r>
      </w:hyperlink>
    </w:p>
    <w:p w14:paraId="7547CA4B" w14:textId="36A79803" w:rsidR="00AB68F6" w:rsidRPr="00BB34E4" w:rsidRDefault="00AB68F6" w:rsidP="0013648F">
      <w:pPr>
        <w:tabs>
          <w:tab w:val="num" w:pos="720"/>
        </w:tabs>
        <w:spacing w:after="240"/>
      </w:pPr>
      <w:r w:rsidRPr="00AB68F6">
        <w:rPr>
          <w:rFonts w:cs="Arial"/>
          <w:color w:val="000000"/>
          <w:shd w:val="clear" w:color="auto" w:fill="FFFFFF"/>
        </w:rPr>
        <w:t>L’</w:t>
      </w:r>
      <w:r w:rsidRPr="00AB68F6">
        <w:rPr>
          <w:rFonts w:cs="Arial"/>
          <w:b/>
          <w:bCs/>
          <w:color w:val="000000"/>
          <w:shd w:val="clear" w:color="auto" w:fill="FFFFFF"/>
        </w:rPr>
        <w:t>Agefiph</w:t>
      </w:r>
      <w:r w:rsidRPr="00AB68F6">
        <w:rPr>
          <w:rFonts w:cs="Arial"/>
          <w:color w:val="000000"/>
          <w:shd w:val="clear" w:color="auto" w:fill="FFFFFF"/>
        </w:rPr>
        <w:t xml:space="preserve"> propose des projets d’innovation ou d’expérimentation qui accélèrent et renforcent l'inclusion professionnelle des personnes en situation de handicap</w:t>
      </w:r>
      <w:r>
        <w:rPr>
          <w:rFonts w:cs="Arial"/>
          <w:color w:val="000000"/>
          <w:shd w:val="clear" w:color="auto" w:fill="FFFFFF"/>
        </w:rPr>
        <w:t xml:space="preserve"> et qui</w:t>
      </w:r>
      <w:r w:rsidRPr="00AB68F6">
        <w:rPr>
          <w:rFonts w:cs="Arial"/>
          <w:color w:val="000000"/>
          <w:shd w:val="clear" w:color="auto" w:fill="FFFFFF"/>
        </w:rPr>
        <w:t xml:space="preserve"> répondent aux besoins actuels peu ou mal couverts (nouvelles formes d</w:t>
      </w:r>
      <w:r w:rsidR="007954EE">
        <w:rPr>
          <w:rFonts w:cs="Arial"/>
          <w:color w:val="000000"/>
          <w:shd w:val="clear" w:color="auto" w:fill="FFFFFF"/>
        </w:rPr>
        <w:t>’</w:t>
      </w:r>
      <w:r w:rsidRPr="00AB68F6">
        <w:rPr>
          <w:rFonts w:cs="Arial"/>
          <w:color w:val="000000"/>
          <w:shd w:val="clear" w:color="auto" w:fill="FFFFFF"/>
        </w:rPr>
        <w:t xml:space="preserve">emploi, acquisition de compétences, prévention de la désinsertion professionnelle, etc.) en s’appuyant sur </w:t>
      </w:r>
      <w:r w:rsidRPr="00AB68F6">
        <w:rPr>
          <w:rFonts w:cs="Arial"/>
          <w:color w:val="000000"/>
          <w:shd w:val="clear" w:color="auto" w:fill="FFFFFF"/>
        </w:rPr>
        <w:lastRenderedPageBreak/>
        <w:t>l</w:t>
      </w:r>
      <w:r w:rsidR="007954EE">
        <w:rPr>
          <w:rFonts w:cs="Arial"/>
          <w:color w:val="000000"/>
          <w:shd w:val="clear" w:color="auto" w:fill="FFFFFF"/>
        </w:rPr>
        <w:t>’</w:t>
      </w:r>
      <w:r w:rsidRPr="00AB68F6">
        <w:rPr>
          <w:rFonts w:cs="Arial"/>
          <w:color w:val="000000"/>
          <w:shd w:val="clear" w:color="auto" w:fill="FFFFFF"/>
        </w:rPr>
        <w:t>innovation et la recherche appliquée. </w:t>
      </w:r>
      <w:r>
        <w:t>La prochaine date limite est le 20</w:t>
      </w:r>
      <w:r w:rsidR="00920FC2">
        <w:t> </w:t>
      </w:r>
      <w:r>
        <w:t>octobre 2025.</w:t>
      </w:r>
      <w:r w:rsidR="00BB34E4">
        <w:t xml:space="preserve"> </w:t>
      </w:r>
      <w:r w:rsidR="00BB34E4">
        <w:br/>
      </w:r>
      <w:r>
        <w:t xml:space="preserve">Pour en savoir plus : </w:t>
      </w:r>
      <w:hyperlink r:id="rId19" w:history="1">
        <w:r w:rsidRPr="00AB68F6">
          <w:rPr>
            <w:rStyle w:val="Lienhypertexte"/>
          </w:rPr>
          <w:t>Innovation et recherche 2024 -2027 : déposez vos projets à compter du 16 septembre 2025 | Innovation et recherche | Agefiph</w:t>
        </w:r>
      </w:hyperlink>
    </w:p>
    <w:p w14:paraId="7E166C76" w14:textId="21014EB4" w:rsidR="002F15B7" w:rsidRDefault="00FA0D54" w:rsidP="00BF2891">
      <w:pPr>
        <w:tabs>
          <w:tab w:val="num" w:pos="720"/>
        </w:tabs>
        <w:spacing w:after="240"/>
      </w:pPr>
      <w:r>
        <w:t>L’</w:t>
      </w:r>
      <w:r>
        <w:rPr>
          <w:b/>
          <w:bCs/>
        </w:rPr>
        <w:t>IUF</w:t>
      </w:r>
      <w:r>
        <w:t xml:space="preserve"> (Institut universitaire de France) lance un appel à candidature pour devenir </w:t>
      </w:r>
      <w:r>
        <w:rPr>
          <w:b/>
          <w:bCs/>
        </w:rPr>
        <w:t>membre IUF</w:t>
      </w:r>
      <w:r>
        <w:t xml:space="preserve"> : </w:t>
      </w:r>
      <w:r>
        <w:rPr>
          <w:b/>
          <w:bCs/>
        </w:rPr>
        <w:t xml:space="preserve">100 chaires seniors </w:t>
      </w:r>
      <w:r>
        <w:t>et</w:t>
      </w:r>
      <w:r>
        <w:rPr>
          <w:b/>
          <w:bCs/>
        </w:rPr>
        <w:t xml:space="preserve"> 100 chaires juniors</w:t>
      </w:r>
      <w:r>
        <w:t>, ventilées en 80 chaires fondamentales, 15 chaires d’innovation et 15 chaires de médiation scientifique. Parmi les avantages, il y a entre autres la réduction de 2/3 du service d’enseignement (128</w:t>
      </w:r>
      <w:r w:rsidR="00E840E6">
        <w:t xml:space="preserve"> </w:t>
      </w:r>
      <w:r>
        <w:t>h</w:t>
      </w:r>
      <w:r w:rsidR="00E840E6">
        <w:t>eures</w:t>
      </w:r>
      <w:r>
        <w:t>) durant les 5 années de délégation et les crédits de recherche de 75 000</w:t>
      </w:r>
      <w:r w:rsidR="007954EE">
        <w:t xml:space="preserve"> euros </w:t>
      </w:r>
      <w:r>
        <w:t>TTC au total, soit 15 000</w:t>
      </w:r>
      <w:r w:rsidR="007954EE">
        <w:t xml:space="preserve"> euros</w:t>
      </w:r>
      <w:r>
        <w:t xml:space="preserve"> par an, pouvant être dépensés à la réalisation du projet de recherche. La prochaine date limite est le 7 novembre 2025.</w:t>
      </w:r>
      <w:r w:rsidR="00BF2891">
        <w:t xml:space="preserve"> </w:t>
      </w:r>
      <w:r w:rsidR="00BF2891">
        <w:br/>
      </w:r>
      <w:r>
        <w:t xml:space="preserve">Pour en savoir plus : </w:t>
      </w:r>
      <w:hyperlink r:id="rId20" w:tooltip="https://candidatures.iufrance.fr/accueil.html" w:history="1">
        <w:r>
          <w:rPr>
            <w:rStyle w:val="Lienhypertexte"/>
          </w:rPr>
          <w:t>https://candidatures.iufrance.fr/accueil.html</w:t>
        </w:r>
      </w:hyperlink>
    </w:p>
    <w:p w14:paraId="732CBAB2" w14:textId="0AEDAF94" w:rsidR="002F15B7" w:rsidRDefault="00FA0D54" w:rsidP="00CE603A">
      <w:pPr>
        <w:spacing w:after="240"/>
      </w:pPr>
      <w:r>
        <w:t>L’</w:t>
      </w:r>
      <w:r>
        <w:rPr>
          <w:b/>
          <w:bCs/>
        </w:rPr>
        <w:t>OIR</w:t>
      </w:r>
      <w:r>
        <w:t xml:space="preserve"> (</w:t>
      </w:r>
      <w:r w:rsidR="0048737D">
        <w:t>O</w:t>
      </w:r>
      <w:r>
        <w:t xml:space="preserve">rganisme intermédiaire régional), autorité de gestion déléguée de fonds européens pour les académies de Créteil, Paris et Versailles, lance un appel à projets </w:t>
      </w:r>
      <w:r>
        <w:rPr>
          <w:b/>
          <w:bCs/>
        </w:rPr>
        <w:t>« OIR Lutte contre le décrochage scolaire – Collèges et lycées d’Île-de-France »</w:t>
      </w:r>
      <w:r>
        <w:t>. L’appel est ouvert jusqu’au 21</w:t>
      </w:r>
      <w:r w:rsidR="0001738B">
        <w:t> </w:t>
      </w:r>
      <w:r>
        <w:t>novembre 2025.</w:t>
      </w:r>
      <w:r w:rsidR="00D53923">
        <w:t xml:space="preserve"> </w:t>
      </w:r>
      <w:r w:rsidR="00D53923">
        <w:br/>
      </w:r>
      <w:r>
        <w:t xml:space="preserve">Pour en savoir plus : </w:t>
      </w:r>
      <w:hyperlink r:id="rId21" w:tooltip="https://www.europeidf.fr/jai-un-projet/appels-a-projets/lutte-contre-le-decrochage-scolaire-colleges-et-lycees-2025" w:history="1">
        <w:r>
          <w:rPr>
            <w:rStyle w:val="Lienhypertexte"/>
          </w:rPr>
          <w:t>https://www.europeidf.fr/jai-un-projet/appels-a-projets/lutte-contre-le-decrochage-scolaire-colleges-et-lycees-2025</w:t>
        </w:r>
      </w:hyperlink>
    </w:p>
    <w:p w14:paraId="1447EB24" w14:textId="3F9079F2" w:rsidR="002F15B7" w:rsidRDefault="00FA0D54" w:rsidP="00723553">
      <w:pPr>
        <w:spacing w:after="240"/>
      </w:pPr>
      <w:r>
        <w:t xml:space="preserve">La </w:t>
      </w:r>
      <w:r>
        <w:rPr>
          <w:b/>
        </w:rPr>
        <w:t>Commission européenne</w:t>
      </w:r>
      <w:r>
        <w:t xml:space="preserve"> propose un appel à projets </w:t>
      </w:r>
      <w:r w:rsidRPr="0023465D">
        <w:rPr>
          <w:b/>
        </w:rPr>
        <w:t xml:space="preserve">MSCA </w:t>
      </w:r>
      <w:proofErr w:type="spellStart"/>
      <w:r w:rsidRPr="0023465D">
        <w:rPr>
          <w:b/>
        </w:rPr>
        <w:t>Choose</w:t>
      </w:r>
      <w:proofErr w:type="spellEnd"/>
      <w:r w:rsidRPr="0023465D">
        <w:rPr>
          <w:b/>
        </w:rPr>
        <w:t xml:space="preserve"> Europe for Science</w:t>
      </w:r>
      <w:r>
        <w:t>. Il vise à augmenter l'attractivité des carrières dans le domaine de la recherche en Europe en s</w:t>
      </w:r>
      <w:r w:rsidR="007954EE">
        <w:t>’</w:t>
      </w:r>
      <w:r>
        <w:t>emparant du problème de la précarité et en offrant d</w:t>
      </w:r>
      <w:r w:rsidR="007954EE">
        <w:t>’</w:t>
      </w:r>
      <w:r>
        <w:t xml:space="preserve">excellentes conditions de travail afin de transformer le défi de la </w:t>
      </w:r>
      <w:r w:rsidR="0073622C">
        <w:t>« </w:t>
      </w:r>
      <w:r>
        <w:t>fuite des cerveaux</w:t>
      </w:r>
      <w:r w:rsidR="0073622C">
        <w:t> »</w:t>
      </w:r>
      <w:r>
        <w:t xml:space="preserve"> (</w:t>
      </w:r>
      <w:proofErr w:type="spellStart"/>
      <w:r w:rsidRPr="00A230B8">
        <w:rPr>
          <w:b/>
          <w:bCs/>
        </w:rPr>
        <w:t>brain</w:t>
      </w:r>
      <w:proofErr w:type="spellEnd"/>
      <w:r w:rsidRPr="00A230B8">
        <w:rPr>
          <w:b/>
          <w:bCs/>
        </w:rPr>
        <w:t xml:space="preserve"> drain</w:t>
      </w:r>
      <w:r>
        <w:t xml:space="preserve">) dans le secteur de la recherche et innovation en </w:t>
      </w:r>
      <w:r w:rsidR="0073622C">
        <w:t>« </w:t>
      </w:r>
      <w:r>
        <w:t>gain de cerveaux</w:t>
      </w:r>
      <w:r w:rsidR="0073622C">
        <w:t> »</w:t>
      </w:r>
      <w:r>
        <w:t xml:space="preserve"> (</w:t>
      </w:r>
      <w:proofErr w:type="spellStart"/>
      <w:r w:rsidRPr="00A230B8">
        <w:rPr>
          <w:b/>
          <w:bCs/>
        </w:rPr>
        <w:t>brain</w:t>
      </w:r>
      <w:proofErr w:type="spellEnd"/>
      <w:r w:rsidRPr="00A230B8">
        <w:rPr>
          <w:b/>
          <w:bCs/>
        </w:rPr>
        <w:t xml:space="preserve"> gain</w:t>
      </w:r>
      <w:r>
        <w:t xml:space="preserve">). Il soutient des projets dans le cadre desquels des organisations académiques ou non académiques recruteront des chercheurs </w:t>
      </w:r>
      <w:r>
        <w:lastRenderedPageBreak/>
        <w:t xml:space="preserve">postdoctoraux avec une vision concernant leur recrutement au-delà de la durée du projet. </w:t>
      </w:r>
      <w:bookmarkStart w:id="11" w:name="_Hlk210375630"/>
      <w:r>
        <w:t xml:space="preserve">La prochaine date limite est </w:t>
      </w:r>
      <w:bookmarkEnd w:id="11"/>
      <w:r>
        <w:t>le 3 décembre 2025.</w:t>
      </w:r>
      <w:r>
        <w:br/>
        <w:t xml:space="preserve">Pour en savoir plus : </w:t>
      </w:r>
      <w:hyperlink r:id="rId22" w:tooltip="https://www.horizon-europe.gouv.fr/msca-choose-europe-science-2025-40679" w:history="1">
        <w:r>
          <w:rPr>
            <w:rStyle w:val="Lienhypertexte"/>
          </w:rPr>
          <w:t>https://www.horizon-europe.gouv.fr/msca-choose-europe-science-2025-40679</w:t>
        </w:r>
      </w:hyperlink>
    </w:p>
    <w:p w14:paraId="7C9F98B5" w14:textId="73D4CB9A" w:rsidR="002F15B7" w:rsidRDefault="00FA0D54" w:rsidP="00DA0771">
      <w:pPr>
        <w:spacing w:after="240"/>
      </w:pPr>
      <w:r>
        <w:rPr>
          <w:b/>
          <w:bCs/>
        </w:rPr>
        <w:t>CY Université</w:t>
      </w:r>
      <w:r>
        <w:t xml:space="preserve"> propose les appels à projets </w:t>
      </w:r>
      <w:r>
        <w:rPr>
          <w:b/>
          <w:bCs/>
        </w:rPr>
        <w:t xml:space="preserve">CY Générations </w:t>
      </w:r>
      <w:r>
        <w:t>(</w:t>
      </w:r>
      <w:r w:rsidR="00BC0808">
        <w:t>É</w:t>
      </w:r>
      <w:r>
        <w:t xml:space="preserve">mergence, pour 2 ans, et Perspective, pour 3 ans) et </w:t>
      </w:r>
      <w:r>
        <w:rPr>
          <w:b/>
          <w:bCs/>
        </w:rPr>
        <w:t xml:space="preserve">CY Initiative </w:t>
      </w:r>
      <w:r>
        <w:t>(</w:t>
      </w:r>
      <w:r w:rsidR="00BC0808">
        <w:t>É</w:t>
      </w:r>
      <w:r>
        <w:t>mergence, pour 2 ans, et Horizon, pour 4 ans). La prochaine date limite pour les pré-candidatures est le 5 décembre (les candidatures finales sont attendues pour le 23 janvier 2026).</w:t>
      </w:r>
    </w:p>
    <w:p w14:paraId="02833CB7" w14:textId="77777777" w:rsidR="002F15B7" w:rsidRDefault="00FA0D54" w:rsidP="00586D66">
      <w:pPr>
        <w:spacing w:after="240"/>
      </w:pPr>
      <w:r>
        <w:t xml:space="preserve">La </w:t>
      </w:r>
      <w:r>
        <w:rPr>
          <w:b/>
        </w:rPr>
        <w:t>Fondation Alzheimer</w:t>
      </w:r>
      <w:r>
        <w:t xml:space="preserve"> lance un </w:t>
      </w:r>
      <w:r>
        <w:rPr>
          <w:b/>
        </w:rPr>
        <w:t>Programme de sensibilisation à la recherche scientifique</w:t>
      </w:r>
      <w:r>
        <w:t xml:space="preserve"> pour renforcer les liens entre les équipes de recherche et les établissements scolaires (collèges et lycées). L’appel est ouvert jusqu’au 15 décembre 2025.</w:t>
      </w:r>
      <w:r>
        <w:br/>
        <w:t xml:space="preserve">Pour en savoir plus : </w:t>
      </w:r>
      <w:hyperlink r:id="rId23" w:tooltip="https://www.fondation-alzheimer.org/ouverture-des-appels-a-projets-2025/" w:history="1">
        <w:r>
          <w:rPr>
            <w:rStyle w:val="Lienhypertexte"/>
          </w:rPr>
          <w:t>https://www.fondation-alzheimer.org/ouverture-des-appels-a-projets-2025/</w:t>
        </w:r>
      </w:hyperlink>
    </w:p>
    <w:p w14:paraId="7CB079E9" w14:textId="33EDD4F3" w:rsidR="002F15B7" w:rsidRDefault="00FA0D54">
      <w:r>
        <w:t xml:space="preserve">La </w:t>
      </w:r>
      <w:r>
        <w:rPr>
          <w:b/>
          <w:bCs/>
        </w:rPr>
        <w:t>Commission européenne</w:t>
      </w:r>
      <w:r>
        <w:t xml:space="preserve"> propose des appels à projets ERC (</w:t>
      </w:r>
      <w:proofErr w:type="spellStart"/>
      <w:r>
        <w:t>European</w:t>
      </w:r>
      <w:proofErr w:type="spellEnd"/>
      <w:r>
        <w:t xml:space="preserve"> </w:t>
      </w:r>
      <w:proofErr w:type="spellStart"/>
      <w:r>
        <w:t>Research</w:t>
      </w:r>
      <w:proofErr w:type="spellEnd"/>
      <w:r>
        <w:t xml:space="preserve"> Council).</w:t>
      </w:r>
      <w:r w:rsidR="007954EE">
        <w:t xml:space="preserve"> Le </w:t>
      </w:r>
      <w:r>
        <w:t xml:space="preserve">financement se fait sous plusieurs formes : 1. les projets </w:t>
      </w:r>
      <w:r w:rsidRPr="00810315">
        <w:rPr>
          <w:b/>
        </w:rPr>
        <w:t xml:space="preserve">ERC </w:t>
      </w:r>
      <w:proofErr w:type="spellStart"/>
      <w:r w:rsidRPr="00810315">
        <w:rPr>
          <w:b/>
        </w:rPr>
        <w:t>Starting</w:t>
      </w:r>
      <w:proofErr w:type="spellEnd"/>
      <w:r w:rsidRPr="00810315">
        <w:rPr>
          <w:b/>
        </w:rPr>
        <w:t xml:space="preserve"> Grants</w:t>
      </w:r>
      <w:r>
        <w:t>, de 1</w:t>
      </w:r>
      <w:r w:rsidR="00810315">
        <w:t>,</w:t>
      </w:r>
      <w:r>
        <w:t xml:space="preserve">5 million €, sont pour ceux qui ont soutenu leurs thèses il y a 2-7 ans. La date limite approximative est en octobre 2026 ; 2. les projets </w:t>
      </w:r>
      <w:r w:rsidRPr="0023465D">
        <w:rPr>
          <w:b/>
        </w:rPr>
        <w:t xml:space="preserve">ERC </w:t>
      </w:r>
      <w:proofErr w:type="spellStart"/>
      <w:r w:rsidRPr="0023465D">
        <w:rPr>
          <w:b/>
        </w:rPr>
        <w:t>Consolidator</w:t>
      </w:r>
      <w:proofErr w:type="spellEnd"/>
      <w:r w:rsidRPr="0023465D">
        <w:rPr>
          <w:b/>
        </w:rPr>
        <w:t xml:space="preserve"> Grants</w:t>
      </w:r>
      <w:r>
        <w:t xml:space="preserve">, de 2 millions €, sont pour ceux qui ont soutenu leurs thèses il y a 8-12 ans. La date limite est le 13 janvier 2026 ; 3. les projets </w:t>
      </w:r>
      <w:r w:rsidRPr="0023465D">
        <w:rPr>
          <w:b/>
        </w:rPr>
        <w:t>ERC Advanced Grants</w:t>
      </w:r>
      <w:r>
        <w:t>, de 2,5 millions €, sont pour ceux qui ont plus de 12</w:t>
      </w:r>
      <w:r w:rsidR="006F77F7">
        <w:t> </w:t>
      </w:r>
      <w:r>
        <w:t xml:space="preserve">ans de recherche après leurs thèses. La date limite est le 27 août 2026. </w:t>
      </w:r>
      <w:r w:rsidR="00C21A5E">
        <w:br/>
      </w:r>
      <w:r>
        <w:t xml:space="preserve">Pour en savoir plus : </w:t>
      </w:r>
      <w:hyperlink r:id="rId24" w:tooltip="https://www.horizon-europe.gouv.fr/calendriers-et-documents-des-appels-erc-27857?utm_campaign=Newsletter%20Recherche%20n%C2%B02&amp;utm_medium=email&amp;utm_source=Mailjet" w:history="1">
        <w:r>
          <w:rPr>
            <w:rStyle w:val="Lienhypertexte"/>
          </w:rPr>
          <w:t>https://www.horizon-europe.gouv.fr/calendriers-et-documents-des-appels-erc-27857?utm_campaign=Newsletter%20Recherche%20n%C2%B02&amp;utm_medium=email&amp;utm_source=Mailjet</w:t>
        </w:r>
      </w:hyperlink>
    </w:p>
    <w:p w14:paraId="3A48B553" w14:textId="6C518C68" w:rsidR="002F15B7" w:rsidRPr="000920E9" w:rsidRDefault="00FA0D54" w:rsidP="00A06CE6">
      <w:pPr>
        <w:spacing w:after="240"/>
      </w:pPr>
      <w:r>
        <w:lastRenderedPageBreak/>
        <w:t>L'</w:t>
      </w:r>
      <w:proofErr w:type="spellStart"/>
      <w:r>
        <w:rPr>
          <w:b/>
          <w:bCs/>
        </w:rPr>
        <w:t>IFé</w:t>
      </w:r>
      <w:proofErr w:type="spellEnd"/>
      <w:r>
        <w:rPr>
          <w:b/>
          <w:bCs/>
        </w:rPr>
        <w:t xml:space="preserve"> </w:t>
      </w:r>
      <w:r>
        <w:t xml:space="preserve">(Institut </w:t>
      </w:r>
      <w:r w:rsidR="00236EF5">
        <w:t>f</w:t>
      </w:r>
      <w:r>
        <w:t>rançais de l’</w:t>
      </w:r>
      <w:r w:rsidR="00236EF5">
        <w:t>é</w:t>
      </w:r>
      <w:r>
        <w:t>ducation) lance un appel à projets sur les</w:t>
      </w:r>
      <w:r>
        <w:rPr>
          <w:b/>
          <w:bCs/>
        </w:rPr>
        <w:t> « Lieux d</w:t>
      </w:r>
      <w:r w:rsidR="00892D0F">
        <w:rPr>
          <w:b/>
          <w:bCs/>
        </w:rPr>
        <w:t>’é</w:t>
      </w:r>
      <w:r>
        <w:rPr>
          <w:b/>
          <w:bCs/>
        </w:rPr>
        <w:t xml:space="preserve">ducation </w:t>
      </w:r>
      <w:r w:rsidR="00EB312D">
        <w:rPr>
          <w:b/>
          <w:bCs/>
        </w:rPr>
        <w:t>a</w:t>
      </w:r>
      <w:r>
        <w:rPr>
          <w:b/>
          <w:bCs/>
        </w:rPr>
        <w:t>ssociés à l</w:t>
      </w:r>
      <w:r w:rsidR="007954EE">
        <w:rPr>
          <w:b/>
          <w:bCs/>
        </w:rPr>
        <w:t>’</w:t>
      </w:r>
      <w:r>
        <w:rPr>
          <w:b/>
          <w:bCs/>
        </w:rPr>
        <w:t xml:space="preserve">Institut </w:t>
      </w:r>
      <w:r w:rsidR="00CC37CD">
        <w:rPr>
          <w:b/>
          <w:bCs/>
        </w:rPr>
        <w:t>f</w:t>
      </w:r>
      <w:r>
        <w:rPr>
          <w:b/>
          <w:bCs/>
        </w:rPr>
        <w:t>rançais de l</w:t>
      </w:r>
      <w:r w:rsidR="007954EE">
        <w:rPr>
          <w:b/>
          <w:bCs/>
        </w:rPr>
        <w:t>’</w:t>
      </w:r>
      <w:r w:rsidR="000920E9">
        <w:rPr>
          <w:b/>
          <w:bCs/>
        </w:rPr>
        <w:t>é</w:t>
      </w:r>
      <w:r>
        <w:rPr>
          <w:b/>
          <w:bCs/>
        </w:rPr>
        <w:t>ducation (</w:t>
      </w:r>
      <w:proofErr w:type="spellStart"/>
      <w:r>
        <w:rPr>
          <w:b/>
          <w:bCs/>
        </w:rPr>
        <w:t>LéA</w:t>
      </w:r>
      <w:proofErr w:type="spellEnd"/>
      <w:r>
        <w:rPr>
          <w:b/>
          <w:bCs/>
        </w:rPr>
        <w:t>-IFÉ) »</w:t>
      </w:r>
      <w:r>
        <w:t>. Il s’agit des projets collaboratifs de recherche qui s’intéressent à des questions d’enseignement et d’apprentissage, d’accompagnement, de formation ou de développement professionnel des acteurs et actrices de l</w:t>
      </w:r>
      <w:r w:rsidR="007954EE">
        <w:t>’</w:t>
      </w:r>
      <w:r>
        <w:t>éducation ainsi qu’à des questions de pilotage et de coordination des établissements scolaires et de leurs territoires. La prochaine date limite est le 5 février 2026.</w:t>
      </w:r>
      <w:r w:rsidR="000920E9">
        <w:t xml:space="preserve"> </w:t>
      </w:r>
      <w:r w:rsidR="000920E9">
        <w:br/>
      </w:r>
      <w:r>
        <w:t>Pour en savoir plus</w:t>
      </w:r>
      <w:r>
        <w:rPr>
          <w:b/>
          <w:bCs/>
        </w:rPr>
        <w:t xml:space="preserve"> </w:t>
      </w:r>
      <w:r>
        <w:t>:</w:t>
      </w:r>
      <w:r>
        <w:rPr>
          <w:b/>
          <w:bCs/>
        </w:rPr>
        <w:t xml:space="preserve"> </w:t>
      </w:r>
      <w:hyperlink r:id="rId25" w:tooltip="http://ife.ens-lyon.fr/lea/le-reseau/devenir-un-lea/devenir-un-lea" w:history="1">
        <w:r w:rsidRPr="00EE5F50">
          <w:rPr>
            <w:rStyle w:val="Lienhypertexte"/>
          </w:rPr>
          <w:t>http://ife.ens-lyon.fr/lea/le-reseau/devenir-un-lea/devenir-un-lea</w:t>
        </w:r>
      </w:hyperlink>
    </w:p>
    <w:p w14:paraId="4B8121A7" w14:textId="57FD95A7" w:rsidR="002F15B7" w:rsidRDefault="00FA0D54" w:rsidP="008677CE">
      <w:pPr>
        <w:spacing w:after="240"/>
      </w:pPr>
      <w:r>
        <w:t>L’</w:t>
      </w:r>
      <w:r>
        <w:rPr>
          <w:b/>
        </w:rPr>
        <w:t>ANR</w:t>
      </w:r>
      <w:r>
        <w:t xml:space="preserve"> (Agence nationale de la recherche) propose un appel à projets MRSEI : </w:t>
      </w:r>
      <w:r>
        <w:rPr>
          <w:b/>
        </w:rPr>
        <w:t xml:space="preserve">Montage de </w:t>
      </w:r>
      <w:r w:rsidR="00A123D2">
        <w:rPr>
          <w:b/>
        </w:rPr>
        <w:t>r</w:t>
      </w:r>
      <w:r>
        <w:rPr>
          <w:b/>
        </w:rPr>
        <w:t xml:space="preserve">éseaux </w:t>
      </w:r>
      <w:r w:rsidR="00A123D2">
        <w:rPr>
          <w:b/>
        </w:rPr>
        <w:t>s</w:t>
      </w:r>
      <w:r>
        <w:rPr>
          <w:b/>
        </w:rPr>
        <w:t xml:space="preserve">cientifiques </w:t>
      </w:r>
      <w:r w:rsidR="00A123D2">
        <w:rPr>
          <w:b/>
        </w:rPr>
        <w:t>e</w:t>
      </w:r>
      <w:r>
        <w:rPr>
          <w:b/>
        </w:rPr>
        <w:t xml:space="preserve">uropéens ou </w:t>
      </w:r>
      <w:r w:rsidR="00A123D2">
        <w:rPr>
          <w:b/>
        </w:rPr>
        <w:t>i</w:t>
      </w:r>
      <w:r>
        <w:rPr>
          <w:b/>
        </w:rPr>
        <w:t>nternationaux</w:t>
      </w:r>
      <w:r>
        <w:t>. Son objectif est de constituer un réseau scientifique européen ou international, coordonné par une équipe française, qui doit ensuite candidater à un appel à projets européen ou international. Une aide maximale est de 36 000 € pour une durée de 24 mois. La prochaine date limite est prévue pour 2026.</w:t>
      </w:r>
      <w:r>
        <w:br/>
        <w:t>Pour en savoir plus : pas encore en ligne</w:t>
      </w:r>
    </w:p>
    <w:p w14:paraId="33F4DDBC" w14:textId="0DF2E48F" w:rsidR="002F15B7" w:rsidRDefault="00FA0D54" w:rsidP="006E2F1E">
      <w:pPr>
        <w:spacing w:after="240"/>
      </w:pPr>
      <w:r>
        <w:t>L’</w:t>
      </w:r>
      <w:r>
        <w:rPr>
          <w:b/>
        </w:rPr>
        <w:t>ANR</w:t>
      </w:r>
      <w:r>
        <w:t xml:space="preserve"> (Agence nationale de la recherche) propose un appel à projets </w:t>
      </w:r>
      <w:r>
        <w:rPr>
          <w:b/>
        </w:rPr>
        <w:t>Access ERC</w:t>
      </w:r>
      <w:r>
        <w:t xml:space="preserve">. Il consiste en un contrat </w:t>
      </w:r>
      <w:proofErr w:type="spellStart"/>
      <w:r>
        <w:t>post-doctoral</w:t>
      </w:r>
      <w:proofErr w:type="spellEnd"/>
      <w:r>
        <w:t xml:space="preserve"> d’une durée de 24</w:t>
      </w:r>
      <w:r w:rsidR="00482ACF">
        <w:t> </w:t>
      </w:r>
      <w:r>
        <w:t xml:space="preserve">mois, ayant pour objectif le dépôt d’une candidature à l’ERC </w:t>
      </w:r>
      <w:proofErr w:type="spellStart"/>
      <w:r w:rsidRPr="0023465D">
        <w:t>Starting</w:t>
      </w:r>
      <w:proofErr w:type="spellEnd"/>
      <w:r w:rsidRPr="0023465D">
        <w:t xml:space="preserve"> Grants</w:t>
      </w:r>
      <w:r>
        <w:t xml:space="preserve">. L’aide maximum allouée est de 185 </w:t>
      </w:r>
      <w:r w:rsidR="00A230B8">
        <w:t>000</w:t>
      </w:r>
      <w:r w:rsidR="007954EE">
        <w:t xml:space="preserve"> euros </w:t>
      </w:r>
      <w:r>
        <w:t>(frais d’environnement exclus). Cette aide couvrira le salaire du jeune chercheur ou de la jeune chercheuse, ainsi que ses dépenses de fonctionnement (mobilités, publications, organisation de colloque, etc.). La prochaine date limite est prévue pour février 2026.</w:t>
      </w:r>
      <w:r w:rsidR="00C21A5E">
        <w:t xml:space="preserve"> </w:t>
      </w:r>
      <w:r>
        <w:br/>
        <w:t xml:space="preserve">Pour en savoir plus : pas encore en ligne </w:t>
      </w:r>
    </w:p>
    <w:p w14:paraId="0170AF9F" w14:textId="090358C4" w:rsidR="002F15B7" w:rsidRDefault="00FA0D54" w:rsidP="00274670">
      <w:pPr>
        <w:spacing w:after="240"/>
      </w:pPr>
      <w:r>
        <w:t xml:space="preserve">La </w:t>
      </w:r>
      <w:r>
        <w:rPr>
          <w:b/>
        </w:rPr>
        <w:t>Commission européenne</w:t>
      </w:r>
      <w:r>
        <w:t xml:space="preserve"> lance chaque année un appel à projets </w:t>
      </w:r>
      <w:r>
        <w:rPr>
          <w:b/>
        </w:rPr>
        <w:t>Erasmus+</w:t>
      </w:r>
      <w:r>
        <w:t xml:space="preserve">. Les partenariats de coopération dans l’enseignement </w:t>
      </w:r>
      <w:r>
        <w:lastRenderedPageBreak/>
        <w:t>supérieur y sont particulièrement adaptés pour travailler sur des projets ayant pour thème l’inclusion et la diversité car ils correspondent à l’une des priorités stratégiques du programme 2021-2027. La prochaine date limite est prévue pour mars 2026.</w:t>
      </w:r>
      <w:r>
        <w:br/>
        <w:t xml:space="preserve">Pour en savoir plus : pas encore en ligne </w:t>
      </w:r>
    </w:p>
    <w:p w14:paraId="457EF9F0" w14:textId="7885F603" w:rsidR="002F15B7" w:rsidRDefault="00FA0D54" w:rsidP="00A443A3">
      <w:pPr>
        <w:spacing w:after="240"/>
      </w:pPr>
      <w:r>
        <w:t>L’</w:t>
      </w:r>
      <w:r>
        <w:rPr>
          <w:b/>
        </w:rPr>
        <w:t>ANR</w:t>
      </w:r>
      <w:r>
        <w:t xml:space="preserve"> (Agence nationale de la recherche) propose un appel à projets SRSEI : </w:t>
      </w:r>
      <w:r>
        <w:rPr>
          <w:b/>
        </w:rPr>
        <w:t xml:space="preserve">Soutien aux </w:t>
      </w:r>
      <w:r w:rsidR="00620A27">
        <w:rPr>
          <w:b/>
        </w:rPr>
        <w:t>r</w:t>
      </w:r>
      <w:r>
        <w:rPr>
          <w:b/>
        </w:rPr>
        <w:t xml:space="preserve">éseaux </w:t>
      </w:r>
      <w:r w:rsidR="00620A27">
        <w:rPr>
          <w:b/>
        </w:rPr>
        <w:t>s</w:t>
      </w:r>
      <w:r>
        <w:rPr>
          <w:b/>
        </w:rPr>
        <w:t xml:space="preserve">cientifiques </w:t>
      </w:r>
      <w:r w:rsidR="00620A27">
        <w:rPr>
          <w:b/>
        </w:rPr>
        <w:t>e</w:t>
      </w:r>
      <w:r>
        <w:rPr>
          <w:b/>
        </w:rPr>
        <w:t xml:space="preserve">uropéens ou </w:t>
      </w:r>
      <w:r w:rsidR="00620A27">
        <w:rPr>
          <w:b/>
        </w:rPr>
        <w:t>i</w:t>
      </w:r>
      <w:r>
        <w:rPr>
          <w:b/>
        </w:rPr>
        <w:t>nternationaux</w:t>
      </w:r>
      <w:r>
        <w:t>. Son objectif est de renforcer un réseau scientifique européen ou international, coordonné par une équipe française ayant été invitée à poursuivre sa candidature à la dernière étape d’un appel européen ou international en plusieurs étapes. L’aide maximale est de 17</w:t>
      </w:r>
      <w:r w:rsidR="001D67C3">
        <w:t> </w:t>
      </w:r>
      <w:r>
        <w:t>000 € pour une durée de 12 mois (frais de mission, de réunion, de réception…). La prochaine date limite est prévue pour mars 2026.</w:t>
      </w:r>
      <w:r>
        <w:br/>
        <w:t>Pour en savoir plus : pas encore en ligne</w:t>
      </w:r>
    </w:p>
    <w:p w14:paraId="5236569E" w14:textId="035E6E69" w:rsidR="002F15B7" w:rsidRDefault="00FA0D54" w:rsidP="006E0F6B">
      <w:pPr>
        <w:spacing w:after="240"/>
      </w:pPr>
      <w:r>
        <w:t>L’</w:t>
      </w:r>
      <w:r>
        <w:rPr>
          <w:b/>
        </w:rPr>
        <w:t>ANR</w:t>
      </w:r>
      <w:r>
        <w:t xml:space="preserve"> (Agence nationale de la recherche) propose un appel à projets </w:t>
      </w:r>
      <w:r>
        <w:rPr>
          <w:b/>
        </w:rPr>
        <w:t xml:space="preserve">« Chaires </w:t>
      </w:r>
      <w:r w:rsidR="006E0F6B">
        <w:rPr>
          <w:b/>
        </w:rPr>
        <w:t>i</w:t>
      </w:r>
      <w:r>
        <w:rPr>
          <w:b/>
        </w:rPr>
        <w:t>ndustrielles »</w:t>
      </w:r>
      <w:r>
        <w:rPr>
          <w:bCs/>
        </w:rPr>
        <w:t>.</w:t>
      </w:r>
      <w:r>
        <w:t xml:space="preserve"> Un financement sera accordé pour une période maximale de 48 mois, la contribution de l’ANR étant apportée à concurrence de celle des entreprises (apport en numéraire versé à l’établissement d’accueil). La prochaine date limite est prévue pour mars 2026.</w:t>
      </w:r>
      <w:r>
        <w:br/>
        <w:t xml:space="preserve">Pour en savoir plus : pas encore en ligne </w:t>
      </w:r>
    </w:p>
    <w:p w14:paraId="69FDCA08" w14:textId="532D786F" w:rsidR="002F15B7" w:rsidRDefault="00FA0D54">
      <w:r>
        <w:t>La</w:t>
      </w:r>
      <w:r>
        <w:rPr>
          <w:b/>
          <w:bCs/>
        </w:rPr>
        <w:t xml:space="preserve"> FIRAH </w:t>
      </w:r>
      <w:r>
        <w:t xml:space="preserve">(Fondation </w:t>
      </w:r>
      <w:r w:rsidR="000E022F">
        <w:t>i</w:t>
      </w:r>
      <w:r>
        <w:t xml:space="preserve">nternationale de </w:t>
      </w:r>
      <w:r w:rsidR="000E022F">
        <w:t>r</w:t>
      </w:r>
      <w:r>
        <w:t xml:space="preserve">echerche </w:t>
      </w:r>
      <w:r w:rsidR="000E022F">
        <w:t>a</w:t>
      </w:r>
      <w:r>
        <w:t xml:space="preserve">ppliquée sur le </w:t>
      </w:r>
      <w:r w:rsidR="000E022F">
        <w:t>h</w:t>
      </w:r>
      <w:r>
        <w:t xml:space="preserve">andicap) propose des appels à projets sur le </w:t>
      </w:r>
      <w:r>
        <w:rPr>
          <w:b/>
          <w:bCs/>
        </w:rPr>
        <w:t>handicap</w:t>
      </w:r>
      <w:r>
        <w:t>. Les recherches appliquées devront déboucher sur des résultats avec des retombées pratiques, utiles et utilisables par les personnes en situation de handicap, leurs familles, les professionnels, etc. La prochaine date limite est prévue pour mars 2026.</w:t>
      </w:r>
      <w:r w:rsidR="00D17589">
        <w:br/>
      </w:r>
      <w:r>
        <w:t xml:space="preserve">Pour en savoir plus : pas encore en ligne </w:t>
      </w:r>
    </w:p>
    <w:p w14:paraId="56DAE8B9" w14:textId="2ACE7A82" w:rsidR="002F15B7" w:rsidRDefault="00FA0D54" w:rsidP="001F73C4">
      <w:pPr>
        <w:spacing w:after="240"/>
        <w:rPr>
          <w:highlight w:val="yellow"/>
        </w:rPr>
      </w:pPr>
      <w:r>
        <w:lastRenderedPageBreak/>
        <w:t xml:space="preserve">La </w:t>
      </w:r>
      <w:r>
        <w:rPr>
          <w:b/>
        </w:rPr>
        <w:t xml:space="preserve">CNSA </w:t>
      </w:r>
      <w:r>
        <w:t>(Caisse nationale de solidarité pour l’autonomie) et l'</w:t>
      </w:r>
      <w:proofErr w:type="spellStart"/>
      <w:r>
        <w:rPr>
          <w:b/>
        </w:rPr>
        <w:t>IReSP</w:t>
      </w:r>
      <w:proofErr w:type="spellEnd"/>
      <w:r>
        <w:t xml:space="preserve"> (Institut pour la </w:t>
      </w:r>
      <w:r w:rsidR="002F0595">
        <w:t>r</w:t>
      </w:r>
      <w:r>
        <w:t xml:space="preserve">echerche en </w:t>
      </w:r>
      <w:r w:rsidR="002F0595">
        <w:t>s</w:t>
      </w:r>
      <w:r>
        <w:t xml:space="preserve">anté </w:t>
      </w:r>
      <w:r w:rsidR="002F0595">
        <w:t>p</w:t>
      </w:r>
      <w:r>
        <w:t xml:space="preserve">ublique) proposent des appels à projets dans le cadre du </w:t>
      </w:r>
      <w:r>
        <w:rPr>
          <w:b/>
          <w:bCs/>
        </w:rPr>
        <w:t>programme autonomie</w:t>
      </w:r>
      <w:r>
        <w:t>. La prochaine date limite est prévue pour avril 2026.</w:t>
      </w:r>
      <w:r>
        <w:br/>
        <w:t>Pour en savoir plus : pas encore en ligne</w:t>
      </w:r>
      <w:r>
        <w:rPr>
          <w:highlight w:val="yellow"/>
        </w:rPr>
        <w:t xml:space="preserve"> </w:t>
      </w:r>
    </w:p>
    <w:p w14:paraId="6481DCF2" w14:textId="1A9005AE" w:rsidR="009260EB" w:rsidRDefault="009260EB" w:rsidP="00D744C9">
      <w:pPr>
        <w:spacing w:after="240"/>
      </w:pPr>
      <w:r>
        <w:t xml:space="preserve">La </w:t>
      </w:r>
      <w:r>
        <w:rPr>
          <w:b/>
        </w:rPr>
        <w:t>Commission européenne</w:t>
      </w:r>
      <w:r>
        <w:t xml:space="preserve"> propose </w:t>
      </w:r>
      <w:r w:rsidRPr="009260EB">
        <w:t>des </w:t>
      </w:r>
      <w:r w:rsidRPr="009260EB">
        <w:rPr>
          <w:b/>
          <w:bCs/>
        </w:rPr>
        <w:t>appels à projets collaboratifs sur la culture, la créativité et la société inclusive</w:t>
      </w:r>
      <w:r w:rsidRPr="008B7E34">
        <w:t>.</w:t>
      </w:r>
      <w:r w:rsidRPr="009260EB">
        <w:t xml:space="preserve"> Il s’agit de projets internationaux (3 partenaires au minimum de 3 pays européens différents), interdisciplinaires, intersectoriels, de 3-4 ans, de </w:t>
      </w:r>
      <w:r>
        <w:t>3</w:t>
      </w:r>
      <w:r w:rsidRPr="009260EB">
        <w:t>-4 millions d’euros par projet. L</w:t>
      </w:r>
      <w:r>
        <w:t xml:space="preserve">a prochaine date limite est </w:t>
      </w:r>
      <w:r w:rsidRPr="009260EB">
        <w:t xml:space="preserve">fixée pour le </w:t>
      </w:r>
      <w:r>
        <w:t>16</w:t>
      </w:r>
      <w:r w:rsidR="00F44157">
        <w:t> </w:t>
      </w:r>
      <w:r>
        <w:t>septembre</w:t>
      </w:r>
      <w:r w:rsidRPr="009260EB">
        <w:t xml:space="preserve"> 202</w:t>
      </w:r>
      <w:r>
        <w:t>6</w:t>
      </w:r>
      <w:r w:rsidRPr="009260EB">
        <w:t>. </w:t>
      </w:r>
      <w:r w:rsidR="004E6635">
        <w:br/>
      </w:r>
      <w:r>
        <w:t xml:space="preserve">Pour en savoir plus : </w:t>
      </w:r>
      <w:hyperlink r:id="rId26" w:anchor=":~:text=Opening%3A%2009%20Dec%202025%20Deadline,on%20Social%20and%20Economic%20Transformations" w:history="1">
        <w:r w:rsidRPr="009260EB">
          <w:rPr>
            <w:rStyle w:val="Lienhypertexte"/>
          </w:rPr>
          <w:t>https://sciencebusiness.net/sites/default/files/inline-files/HORIZON-CL2-2026-2027_04_02_2025.pdf</w:t>
        </w:r>
      </w:hyperlink>
    </w:p>
    <w:p w14:paraId="046F117E" w14:textId="7AABE529" w:rsidR="002F15B7" w:rsidRPr="006D6DC4" w:rsidRDefault="00FA0D54" w:rsidP="00122337">
      <w:pPr>
        <w:spacing w:after="240"/>
      </w:pPr>
      <w:r>
        <w:t xml:space="preserve">La </w:t>
      </w:r>
      <w:r>
        <w:rPr>
          <w:b/>
        </w:rPr>
        <w:t>Commission européenne</w:t>
      </w:r>
      <w:r>
        <w:t xml:space="preserve"> propose des appels à projets pour les </w:t>
      </w:r>
      <w:proofErr w:type="spellStart"/>
      <w:r>
        <w:t>post-doctorants</w:t>
      </w:r>
      <w:proofErr w:type="spellEnd"/>
      <w:r>
        <w:t xml:space="preserve"> : </w:t>
      </w:r>
      <w:proofErr w:type="spellStart"/>
      <w:r w:rsidRPr="0023465D">
        <w:rPr>
          <w:b/>
        </w:rPr>
        <w:t>European</w:t>
      </w:r>
      <w:proofErr w:type="spellEnd"/>
      <w:r w:rsidRPr="0023465D">
        <w:rPr>
          <w:b/>
        </w:rPr>
        <w:t xml:space="preserve"> Postdoctoral </w:t>
      </w:r>
      <w:proofErr w:type="spellStart"/>
      <w:r w:rsidRPr="0023465D">
        <w:rPr>
          <w:b/>
        </w:rPr>
        <w:t>Fellowships</w:t>
      </w:r>
      <w:proofErr w:type="spellEnd"/>
      <w:r>
        <w:t xml:space="preserve"> et </w:t>
      </w:r>
      <w:r w:rsidRPr="0023465D">
        <w:rPr>
          <w:b/>
        </w:rPr>
        <w:t xml:space="preserve">Global Postdoctoral </w:t>
      </w:r>
      <w:proofErr w:type="spellStart"/>
      <w:r w:rsidRPr="0023465D">
        <w:rPr>
          <w:b/>
        </w:rPr>
        <w:t>Fellowships</w:t>
      </w:r>
      <w:proofErr w:type="spellEnd"/>
      <w:r>
        <w:t xml:space="preserve">. Dans le </w:t>
      </w:r>
      <w:r w:rsidR="00A230B8">
        <w:t>premier c</w:t>
      </w:r>
      <w:r>
        <w:t xml:space="preserve">as, il s’agit de bourses destinées aux porteurs de projets d’une durée de 12 à 24 mois au sein d’un organisme situé dans l’Union européenne ou dans un pays associé à Horizon Europe ; dans le </w:t>
      </w:r>
      <w:r w:rsidR="00CA66A8">
        <w:t>deuxième</w:t>
      </w:r>
      <w:r>
        <w:t xml:space="preserve"> cas, il s’agit de bourses destinées aux porteurs de projets d’une durée de 24 à 36 mois au sein d’un établissement localisé dans un pays tiers. La prochaine date limite est prévue en septembre 2026.</w:t>
      </w:r>
      <w:r>
        <w:br/>
        <w:t xml:space="preserve">Pour en savoir plus : </w:t>
      </w:r>
      <w:hyperlink r:id="rId27" w:history="1">
        <w:r w:rsidR="00A230B8" w:rsidRPr="0095075C">
          <w:rPr>
            <w:rStyle w:val="Lienhypertexte"/>
          </w:rPr>
          <w:t>https://marie-sklodowska-curie-actions.ec.europa.eu/actions/postdoctoral-fellowships</w:t>
        </w:r>
      </w:hyperlink>
    </w:p>
    <w:p w14:paraId="4E01D358" w14:textId="77777777" w:rsidR="002F15B7" w:rsidRDefault="00FA0D54">
      <w:r>
        <w:t xml:space="preserve">La </w:t>
      </w:r>
      <w:r>
        <w:rPr>
          <w:b/>
        </w:rPr>
        <w:t>Commission européenne</w:t>
      </w:r>
      <w:r>
        <w:t xml:space="preserve"> propose un appel à projets </w:t>
      </w:r>
      <w:r w:rsidRPr="0023465D">
        <w:rPr>
          <w:b/>
        </w:rPr>
        <w:t>MSCA Staff Exchanges</w:t>
      </w:r>
      <w:r>
        <w:t>. Il s’agit de projets de coopération (de mobilité) avec les pays tiers. La prochaine date limite est prévue pour octobre 2026.</w:t>
      </w:r>
      <w:r>
        <w:br/>
        <w:t xml:space="preserve">Pour en savoir plus : </w:t>
      </w:r>
      <w:hyperlink r:id="rId28" w:tooltip="https://marie-sklodowska-curie-actions.ec.europa.eu/actions/staff-exchanges" w:history="1">
        <w:r>
          <w:rPr>
            <w:rStyle w:val="Lienhypertexte"/>
          </w:rPr>
          <w:t>https://marie-sklodowska-curie-actions.ec.europa.eu/actions/staff-exchanges</w:t>
        </w:r>
      </w:hyperlink>
      <w:r>
        <w:t>?</w:t>
      </w:r>
    </w:p>
    <w:p w14:paraId="59CD3D19" w14:textId="77777777" w:rsidR="002F15B7" w:rsidRDefault="00FA0D54" w:rsidP="0067238A">
      <w:pPr>
        <w:spacing w:after="240"/>
      </w:pPr>
      <w:r>
        <w:lastRenderedPageBreak/>
        <w:t>L’</w:t>
      </w:r>
      <w:r>
        <w:rPr>
          <w:b/>
        </w:rPr>
        <w:t>ANR</w:t>
      </w:r>
      <w:r>
        <w:t xml:space="preserve"> (Agence nationale de la recherche) propose des appels à projets individuels portés par des jeunes chercheurs ou des jeunes chercheuses (</w:t>
      </w:r>
      <w:r>
        <w:rPr>
          <w:b/>
        </w:rPr>
        <w:t>JCJC</w:t>
      </w:r>
      <w:r>
        <w:t xml:space="preserve">) ainsi que des appels à projets collaboratifs comme </w:t>
      </w:r>
      <w:r>
        <w:rPr>
          <w:b/>
        </w:rPr>
        <w:t>PRME</w:t>
      </w:r>
      <w:r>
        <w:t xml:space="preserve"> (mono-équipe), </w:t>
      </w:r>
      <w:r>
        <w:rPr>
          <w:b/>
        </w:rPr>
        <w:t>PRC</w:t>
      </w:r>
      <w:r>
        <w:t xml:space="preserve"> (entre entités publiques dans un contexte national), </w:t>
      </w:r>
      <w:r>
        <w:rPr>
          <w:b/>
          <w:bCs/>
        </w:rPr>
        <w:t>PRCI</w:t>
      </w:r>
      <w:r>
        <w:t xml:space="preserve"> (bilatéraux/internationaux) et </w:t>
      </w:r>
      <w:r>
        <w:rPr>
          <w:b/>
        </w:rPr>
        <w:t>PRCE</w:t>
      </w:r>
      <w:r>
        <w:t xml:space="preserve"> (entre entités publiques et privées pouvant présenter une ouverture vers le monde de l’entreprise). La prochaine date limite est prévue pour octobre 2026.</w:t>
      </w:r>
      <w:r>
        <w:br/>
        <w:t>Pour en savoir plus : pas encore en ligne</w:t>
      </w:r>
    </w:p>
    <w:p w14:paraId="73A19922" w14:textId="77777777" w:rsidR="002F15B7" w:rsidRDefault="00FA0D54" w:rsidP="00B12ADC">
      <w:pPr>
        <w:spacing w:after="240"/>
      </w:pPr>
      <w:r>
        <w:t xml:space="preserve">La </w:t>
      </w:r>
      <w:r>
        <w:rPr>
          <w:b/>
        </w:rPr>
        <w:t>Commission européenne</w:t>
      </w:r>
      <w:r>
        <w:t xml:space="preserve"> propose un appel à projets dans le cadre du programme </w:t>
      </w:r>
      <w:r>
        <w:rPr>
          <w:b/>
        </w:rPr>
        <w:t>COST</w:t>
      </w:r>
      <w:r>
        <w:t xml:space="preserve"> (le programme de coopération européenne en science et technologie). Ce programme ne finance pas la recherche mais la mise en réseau sur une thématique donnée via les conférences, les colloques, les visites scientifiques… On peut rejoindre un réseau déjà en cours de financement ou proposer un nouveau réseau (</w:t>
      </w:r>
      <w:proofErr w:type="spellStart"/>
      <w:r w:rsidRPr="00A230B8">
        <w:rPr>
          <w:i/>
          <w:iCs/>
        </w:rPr>
        <w:t>bottom</w:t>
      </w:r>
      <w:proofErr w:type="spellEnd"/>
      <w:r w:rsidRPr="00A230B8">
        <w:rPr>
          <w:i/>
          <w:iCs/>
        </w:rPr>
        <w:t>-up</w:t>
      </w:r>
      <w:r>
        <w:t>). La prochaine date limite est prévue pour octobre 2026.</w:t>
      </w:r>
      <w:r>
        <w:br/>
        <w:t xml:space="preserve">Pour en savoir plus : </w:t>
      </w:r>
      <w:hyperlink r:id="rId29" w:tooltip="https://www.cost.eu/" w:history="1">
        <w:r>
          <w:rPr>
            <w:rStyle w:val="Lienhypertexte"/>
          </w:rPr>
          <w:t>https://www.cost.eu/</w:t>
        </w:r>
      </w:hyperlink>
    </w:p>
    <w:p w14:paraId="5F011392" w14:textId="77777777" w:rsidR="002F15B7" w:rsidRDefault="00FA0D54">
      <w:pPr>
        <w:rPr>
          <w:b/>
          <w:bCs/>
        </w:rPr>
      </w:pPr>
      <w:r>
        <w:rPr>
          <w:b/>
          <w:bCs/>
        </w:rPr>
        <w:t>Le Pôle recherche, valorisation, partenariat et relations internationales reste disponible pour vous accompagner dans le dépôt de vos projets.</w:t>
      </w:r>
      <w:r>
        <w:rPr>
          <w:b/>
          <w:bCs/>
        </w:rPr>
        <w:br w:type="page" w:clear="all"/>
      </w:r>
    </w:p>
    <w:p w14:paraId="4758AE17" w14:textId="534D9280" w:rsidR="002F15B7" w:rsidRPr="00EB0FD3" w:rsidRDefault="00FA0D54" w:rsidP="00171A38">
      <w:pPr>
        <w:pStyle w:val="Titre1"/>
      </w:pPr>
      <w:bookmarkStart w:id="12" w:name="_Toc189733266"/>
      <w:bookmarkStart w:id="13" w:name="_Toc189733343"/>
      <w:bookmarkStart w:id="14" w:name="_Toc211587437"/>
      <w:r w:rsidRPr="00EB0FD3">
        <w:lastRenderedPageBreak/>
        <w:t xml:space="preserve">Rubrique numéro 4 : </w:t>
      </w:r>
      <w:r w:rsidR="002D12A4">
        <w:t>Aux</w:t>
      </w:r>
      <w:r w:rsidRPr="00EB0FD3">
        <w:t xml:space="preserve"> doctorants</w:t>
      </w:r>
      <w:bookmarkEnd w:id="12"/>
      <w:bookmarkEnd w:id="13"/>
      <w:bookmarkEnd w:id="14"/>
    </w:p>
    <w:p w14:paraId="301B9155" w14:textId="77777777" w:rsidR="002F15B7" w:rsidRDefault="00FA0D54" w:rsidP="0027154D">
      <w:pPr>
        <w:spacing w:after="240"/>
      </w:pPr>
      <w:r>
        <w:t>Le ministère de l’Enseignement supérieur, de la Recherche et de l’Innovation, via l’</w:t>
      </w:r>
      <w:r>
        <w:rPr>
          <w:b/>
        </w:rPr>
        <w:t>ANRT</w:t>
      </w:r>
      <w:r>
        <w:t xml:space="preserve">, propose le dispositif </w:t>
      </w:r>
      <w:proofErr w:type="spellStart"/>
      <w:r>
        <w:rPr>
          <w:b/>
        </w:rPr>
        <w:t>Cifre</w:t>
      </w:r>
      <w:proofErr w:type="spellEnd"/>
      <w:r>
        <w:t>. Son objectif est de favoriser le développement de la recherche partenariale publique-privée et de placer les doctorants dans des conditions d’emploi. La structure (entreprise ou association notamment) recrute le doctorant en CDI ou CDD et lui confie une mission de recherche ; le laboratoire de recherche encadre ses travaux.</w:t>
      </w:r>
      <w:r>
        <w:br/>
        <w:t xml:space="preserve">Pour en savoir plus : </w:t>
      </w:r>
      <w:hyperlink r:id="rId30" w:tooltip="https://www.anrt.asso.fr/fr/accueil-cifre" w:history="1">
        <w:r>
          <w:rPr>
            <w:rStyle w:val="Lienhypertexte"/>
          </w:rPr>
          <w:t>https://www.anrt.asso.fr/fr/accueil-cifre</w:t>
        </w:r>
      </w:hyperlink>
    </w:p>
    <w:p w14:paraId="0B6A3E0D" w14:textId="5A018050" w:rsidR="002F15B7" w:rsidRDefault="00FA0D54" w:rsidP="007821A1">
      <w:pPr>
        <w:spacing w:after="240"/>
      </w:pPr>
      <w:r>
        <w:t xml:space="preserve">La </w:t>
      </w:r>
      <w:r>
        <w:rPr>
          <w:b/>
        </w:rPr>
        <w:t>Commission européenne</w:t>
      </w:r>
      <w:r>
        <w:t xml:space="preserve"> propose aux doctorants et aux </w:t>
      </w:r>
      <w:proofErr w:type="spellStart"/>
      <w:r>
        <w:t>post-doctorants</w:t>
      </w:r>
      <w:proofErr w:type="spellEnd"/>
      <w:r>
        <w:t xml:space="preserve"> en danger originaires du monde entier (hors l’UE) le projet </w:t>
      </w:r>
      <w:r>
        <w:rPr>
          <w:b/>
        </w:rPr>
        <w:t>SAFE</w:t>
      </w:r>
      <w:r>
        <w:t>. Il s’agit de 60 bourses de 24 mois maximum pour un séjour de recherche dans un établissement d’enseignement supérieur et de recherche européen.</w:t>
      </w:r>
      <w:r w:rsidR="002E537A">
        <w:t xml:space="preserve"> </w:t>
      </w:r>
      <w:r>
        <w:t xml:space="preserve">Pour en savoir plus : </w:t>
      </w:r>
      <w:hyperlink r:id="rId31" w:tooltip="https://saferesearchers.eu" w:history="1">
        <w:r>
          <w:rPr>
            <w:rStyle w:val="Lienhypertexte"/>
          </w:rPr>
          <w:t>https://saferesearchers.eu</w:t>
        </w:r>
      </w:hyperlink>
    </w:p>
    <w:p w14:paraId="4255A80E" w14:textId="79EA5E19" w:rsidR="002F15B7" w:rsidRDefault="00FA0D54" w:rsidP="00D0241B">
      <w:pPr>
        <w:spacing w:after="240"/>
      </w:pPr>
      <w:r>
        <w:t xml:space="preserve">La </w:t>
      </w:r>
      <w:r>
        <w:rPr>
          <w:b/>
        </w:rPr>
        <w:t>Commission européenne</w:t>
      </w:r>
      <w:r>
        <w:t xml:space="preserve"> propose aux doctorants des mobilités </w:t>
      </w:r>
      <w:r>
        <w:rPr>
          <w:b/>
          <w:bCs/>
        </w:rPr>
        <w:t>Erasmus+</w:t>
      </w:r>
      <w:r>
        <w:t xml:space="preserve"> étudiantes ou de personnel, selon leur statut et les activités prévues. Ces mobilités permettent d’améliorer leurs compétences professionnelles, linguistiques, interculturelles...</w:t>
      </w:r>
      <w:r>
        <w:br/>
        <w:t xml:space="preserve">Pour en savoir plus : </w:t>
      </w:r>
      <w:hyperlink r:id="rId32" w:tooltip="https://erasmus-plus.ec.europa.eu/fr/opportunities/opportunities-for-individuals/students/studying-abroad" w:history="1">
        <w:r>
          <w:rPr>
            <w:rStyle w:val="Lienhypertexte"/>
          </w:rPr>
          <w:t>https://erasmus-plus.ec.europa.eu/fr/opportunities/opportunities-for-individuals/students/studying-abroad</w:t>
        </w:r>
      </w:hyperlink>
    </w:p>
    <w:p w14:paraId="1EBDBC0D" w14:textId="4B395067" w:rsidR="002F15B7" w:rsidRDefault="00FA0D54">
      <w:r>
        <w:t xml:space="preserve">Le </w:t>
      </w:r>
      <w:r>
        <w:rPr>
          <w:b/>
          <w:bCs/>
        </w:rPr>
        <w:t>FPO</w:t>
      </w:r>
      <w:r>
        <w:t xml:space="preserve"> (</w:t>
      </w:r>
      <w:proofErr w:type="spellStart"/>
      <w:r w:rsidRPr="0023465D">
        <w:t>Foundation</w:t>
      </w:r>
      <w:proofErr w:type="spellEnd"/>
      <w:r w:rsidRPr="0023465D">
        <w:t xml:space="preserve"> for </w:t>
      </w:r>
      <w:proofErr w:type="spellStart"/>
      <w:r w:rsidRPr="0023465D">
        <w:t>Philosophical</w:t>
      </w:r>
      <w:proofErr w:type="spellEnd"/>
      <w:r w:rsidRPr="0023465D">
        <w:t xml:space="preserve"> Orientation</w:t>
      </w:r>
      <w:r>
        <w:t xml:space="preserve">) offre des </w:t>
      </w:r>
      <w:r>
        <w:rPr>
          <w:b/>
          <w:bCs/>
        </w:rPr>
        <w:t>bourses de 12 mois</w:t>
      </w:r>
      <w:r>
        <w:t xml:space="preserve"> de 30 000 dollars pour des projets de dissertation en anglais qui élargissent la recherche sur la philosophie de l'orientation, dans n</w:t>
      </w:r>
      <w:r w:rsidR="007954EE">
        <w:t>’</w:t>
      </w:r>
      <w:proofErr w:type="spellStart"/>
      <w:r>
        <w:t>mporte</w:t>
      </w:r>
      <w:proofErr w:type="spellEnd"/>
      <w:r>
        <w:t xml:space="preserve"> quel domaine universitaire. La date limite (pour le résumé, la proposition, le CV) est le 10 mars 2026.</w:t>
      </w:r>
      <w:r w:rsidR="000C30DA">
        <w:t xml:space="preserve"> </w:t>
      </w:r>
      <w:r w:rsidR="000C30DA">
        <w:br/>
      </w:r>
      <w:r>
        <w:t>Pour plus d</w:t>
      </w:r>
      <w:r w:rsidR="007954EE">
        <w:t>’</w:t>
      </w:r>
      <w:r>
        <w:t xml:space="preserve">informations : </w:t>
      </w:r>
      <w:hyperlink r:id="rId33" w:history="1">
        <w:r w:rsidRPr="001500F1">
          <w:rPr>
            <w:rStyle w:val="Lienhypertexte"/>
          </w:rPr>
          <w:t>https://www.orientation-philosophy.com/fellowship/</w:t>
        </w:r>
      </w:hyperlink>
      <w:r>
        <w:br w:type="page" w:clear="all"/>
      </w:r>
    </w:p>
    <w:p w14:paraId="6FE408E6" w14:textId="148BE715" w:rsidR="002F15B7" w:rsidRDefault="00FA0D54" w:rsidP="00875C75">
      <w:pPr>
        <w:pStyle w:val="Titre1"/>
      </w:pPr>
      <w:bookmarkStart w:id="15" w:name="_Toc211587438"/>
      <w:bookmarkStart w:id="16" w:name="_Toc189733271"/>
      <w:bookmarkStart w:id="17" w:name="_Toc189733344"/>
      <w:r>
        <w:lastRenderedPageBreak/>
        <w:t xml:space="preserve">Rubrique numéro 5 : </w:t>
      </w:r>
      <w:r w:rsidR="002D12A4">
        <w:t xml:space="preserve">Questions pour le </w:t>
      </w:r>
      <w:r>
        <w:t>DPO</w:t>
      </w:r>
      <w:bookmarkEnd w:id="15"/>
    </w:p>
    <w:p w14:paraId="375A1B5A" w14:textId="77777777" w:rsidR="00167C30" w:rsidRPr="00FC76C2" w:rsidRDefault="00167C30" w:rsidP="005B3275">
      <w:pPr>
        <w:pStyle w:val="Titre2"/>
      </w:pPr>
      <w:r w:rsidRPr="00FC76C2">
        <w:t>Le consentement</w:t>
      </w:r>
      <w:r w:rsidRPr="00FC76C2">
        <w:rPr>
          <w:rFonts w:ascii="Calibri" w:hAnsi="Calibri" w:cs="Calibri"/>
        </w:rPr>
        <w:t> </w:t>
      </w:r>
      <w:r w:rsidRPr="00FC76C2">
        <w:t>: un enjeu majeur dans les recherches en sciences humaines et sociales</w:t>
      </w:r>
    </w:p>
    <w:p w14:paraId="7B224196" w14:textId="2B2A8C87" w:rsidR="00167C30" w:rsidRPr="00FC76C2" w:rsidRDefault="00167C30" w:rsidP="00167C30">
      <w:r w:rsidRPr="00FC76C2">
        <w:t xml:space="preserve">Le consentement est l’un des principes fondamentaux de la protection des données personnelles. Il s’agit de </w:t>
      </w:r>
      <w:r w:rsidRPr="00FC76C2">
        <w:rPr>
          <w:i/>
          <w:iCs/>
        </w:rPr>
        <w:t>« toute manifestation de volonté, libre, spécifique, éclairée et univoque par laquelle la personne concernée accepte, par une déclaration ou par un acte positif clair, que des données à caractère personnel la concernant fassent l’objet d’un traitement »</w:t>
      </w:r>
      <w:r w:rsidRPr="00FC76C2">
        <w:t xml:space="preserve"> (cf.</w:t>
      </w:r>
      <w:r w:rsidR="00853392">
        <w:t> </w:t>
      </w:r>
      <w:r w:rsidRPr="00FC76C2">
        <w:t>RGPD article 4,11).</w:t>
      </w:r>
    </w:p>
    <w:p w14:paraId="6C3B2002" w14:textId="77777777" w:rsidR="00167C30" w:rsidRPr="00FC76C2" w:rsidRDefault="00167C30" w:rsidP="00167C30">
      <w:r w:rsidRPr="00FC76C2">
        <w:t>Pour être conforme au RGPD, le consentement doit être recueilli dans des conditions précises. Il n’est jamais définitif, car la personne peut le retirer à tout moment. Enfin, il ne faut pas le confondre avec la non-opposition, qui repose sur un autre fondement juridique.</w:t>
      </w:r>
    </w:p>
    <w:p w14:paraId="3347EB22" w14:textId="77777777" w:rsidR="00167C30" w:rsidRPr="00DB7E1F" w:rsidRDefault="00167C30" w:rsidP="00DB7E1F">
      <w:pPr>
        <w:pStyle w:val="Titre3"/>
      </w:pPr>
      <w:r w:rsidRPr="00DB7E1F">
        <w:t>Le recueil du consentement</w:t>
      </w:r>
    </w:p>
    <w:p w14:paraId="69143B4F" w14:textId="77777777" w:rsidR="00167C30" w:rsidRPr="00FC76C2" w:rsidRDefault="00167C30" w:rsidP="006254C8">
      <w:pPr>
        <w:spacing w:after="0"/>
      </w:pPr>
      <w:r w:rsidRPr="00FC76C2">
        <w:t>Lorsque la base légale du traitement est le consentement, celui-ci doit toujours être obtenu avant la collecte ou l’utilisation des données personnelles (article 6, 1, a du RGPD).</w:t>
      </w:r>
    </w:p>
    <w:p w14:paraId="48343C3C" w14:textId="77777777" w:rsidR="00167C30" w:rsidRPr="00FC76C2" w:rsidRDefault="00167C30" w:rsidP="006254C8">
      <w:pPr>
        <w:spacing w:after="0"/>
      </w:pPr>
      <w:r w:rsidRPr="00FC76C2">
        <w:t>Il ne peut être présumé ni déduit du silence, d’une case pré-cochée ou de l’inactivité de la personne. Concrètement, cela signifie que la personne doit poser un acte clair : cocher volontairement une case, signer un formulaire ou donner un accord explicite.</w:t>
      </w:r>
    </w:p>
    <w:p w14:paraId="16F7B147" w14:textId="77777777" w:rsidR="00167C30" w:rsidRPr="00FC76C2" w:rsidRDefault="00167C30" w:rsidP="006254C8">
      <w:pPr>
        <w:spacing w:after="0"/>
      </w:pPr>
      <w:r w:rsidRPr="00FC76C2">
        <w:t>Pour être valide, le consentement doit réunir quatre conditions :</w:t>
      </w:r>
    </w:p>
    <w:p w14:paraId="37589E5A" w14:textId="77777777" w:rsidR="00167C30" w:rsidRPr="00FC76C2" w:rsidRDefault="00167C30" w:rsidP="006254C8">
      <w:pPr>
        <w:pStyle w:val="Paragraphedeliste"/>
        <w:numPr>
          <w:ilvl w:val="0"/>
          <w:numId w:val="34"/>
        </w:numPr>
        <w:spacing w:after="0" w:line="360" w:lineRule="auto"/>
        <w:rPr>
          <w:rFonts w:ascii="Verdana" w:hAnsi="Verdana"/>
          <w:sz w:val="24"/>
          <w:szCs w:val="24"/>
        </w:rPr>
      </w:pPr>
      <w:r w:rsidRPr="00FC76C2">
        <w:rPr>
          <w:rFonts w:ascii="Verdana" w:hAnsi="Verdana"/>
          <w:sz w:val="24"/>
          <w:szCs w:val="24"/>
        </w:rPr>
        <w:t>Libre : la personne doit pouvoir choisir sans pression ni conséquence négative en cas de refus ;</w:t>
      </w:r>
    </w:p>
    <w:p w14:paraId="5DBFA6F4" w14:textId="77777777" w:rsidR="00167C30" w:rsidRPr="00FC76C2" w:rsidRDefault="00167C30" w:rsidP="006254C8">
      <w:pPr>
        <w:pStyle w:val="Paragraphedeliste"/>
        <w:numPr>
          <w:ilvl w:val="0"/>
          <w:numId w:val="34"/>
        </w:numPr>
        <w:spacing w:after="0" w:line="360" w:lineRule="auto"/>
        <w:rPr>
          <w:rFonts w:ascii="Verdana" w:hAnsi="Verdana"/>
          <w:sz w:val="24"/>
          <w:szCs w:val="24"/>
        </w:rPr>
      </w:pPr>
      <w:r w:rsidRPr="00FC76C2">
        <w:rPr>
          <w:rFonts w:ascii="Verdana" w:hAnsi="Verdana"/>
          <w:sz w:val="24"/>
          <w:szCs w:val="24"/>
        </w:rPr>
        <w:t>Spécifique : il doit concerner un objectif précis et identifiable ;</w:t>
      </w:r>
    </w:p>
    <w:p w14:paraId="1C74CAB1" w14:textId="77777777" w:rsidR="00167C30" w:rsidRPr="00FC76C2" w:rsidRDefault="00167C30" w:rsidP="006254C8">
      <w:pPr>
        <w:pStyle w:val="Paragraphedeliste"/>
        <w:numPr>
          <w:ilvl w:val="0"/>
          <w:numId w:val="34"/>
        </w:numPr>
        <w:spacing w:after="0" w:line="360" w:lineRule="auto"/>
        <w:rPr>
          <w:rFonts w:ascii="Verdana" w:hAnsi="Verdana"/>
          <w:sz w:val="24"/>
          <w:szCs w:val="24"/>
        </w:rPr>
      </w:pPr>
      <w:r w:rsidRPr="00FC76C2">
        <w:rPr>
          <w:rFonts w:ascii="Verdana" w:hAnsi="Verdana"/>
          <w:sz w:val="24"/>
          <w:szCs w:val="24"/>
        </w:rPr>
        <w:t>Éclairé : la personne doit être informée, de manière compréhensible, sur l’usage de ses données, les destinataires et la durée de conservation ;</w:t>
      </w:r>
    </w:p>
    <w:p w14:paraId="479098EE" w14:textId="77777777" w:rsidR="00167C30" w:rsidRPr="00FC76C2" w:rsidRDefault="00167C30" w:rsidP="006254C8">
      <w:pPr>
        <w:pStyle w:val="Paragraphedeliste"/>
        <w:numPr>
          <w:ilvl w:val="0"/>
          <w:numId w:val="34"/>
        </w:numPr>
        <w:spacing w:after="0" w:line="360" w:lineRule="auto"/>
        <w:rPr>
          <w:rFonts w:ascii="Verdana" w:hAnsi="Verdana"/>
          <w:sz w:val="24"/>
          <w:szCs w:val="24"/>
        </w:rPr>
      </w:pPr>
      <w:r w:rsidRPr="00FC76C2">
        <w:rPr>
          <w:rFonts w:ascii="Verdana" w:hAnsi="Verdana"/>
          <w:sz w:val="24"/>
          <w:szCs w:val="24"/>
        </w:rPr>
        <w:lastRenderedPageBreak/>
        <w:t>Univoque : l’accord doit être clairement exprimé par un acte positif.</w:t>
      </w:r>
    </w:p>
    <w:p w14:paraId="1147B7E2" w14:textId="5856A61A" w:rsidR="00167C30" w:rsidRPr="00BC2121" w:rsidRDefault="00167C30" w:rsidP="00DB7E1F">
      <w:pPr>
        <w:pStyle w:val="Titre3"/>
      </w:pPr>
      <w:r w:rsidRPr="00BC2121">
        <w:t>Le retrait du consentement</w:t>
      </w:r>
    </w:p>
    <w:p w14:paraId="07660F47" w14:textId="379671C1" w:rsidR="00167C30" w:rsidRPr="00FC76C2" w:rsidRDefault="00167C30" w:rsidP="00167C30">
      <w:r w:rsidRPr="00FC76C2">
        <w:t xml:space="preserve">Le droit de retrait est un élément essentiel du consentement. Conformément à l’article 7, 3 du RGPD, </w:t>
      </w:r>
      <w:r w:rsidRPr="00FC76C2">
        <w:rPr>
          <w:i/>
          <w:iCs/>
        </w:rPr>
        <w:t>« la personne concernée a le droit de retirer son consentement à tout moment</w:t>
      </w:r>
      <w:r w:rsidR="00FC76C2" w:rsidRPr="00FC76C2">
        <w:rPr>
          <w:i/>
          <w:iCs/>
        </w:rPr>
        <w:t> »</w:t>
      </w:r>
      <w:r w:rsidRPr="00FC76C2">
        <w:rPr>
          <w:i/>
          <w:iCs/>
        </w:rPr>
        <w:t>.</w:t>
      </w:r>
      <w:r w:rsidRPr="00FC76C2">
        <w:t xml:space="preserve"> Ce retrait doit être aussi simple que le fait de l’avoir donné, sans justification à fournir. À partir du moment où le consentement est retiré, le traitement ne peut plus se poursuivre, sauf existence d’une autre base légale.</w:t>
      </w:r>
    </w:p>
    <w:p w14:paraId="7164D6C7" w14:textId="77777777" w:rsidR="00167C30" w:rsidRPr="00BC2121" w:rsidRDefault="00167C30" w:rsidP="008E11CE">
      <w:pPr>
        <w:pStyle w:val="Titre3"/>
      </w:pPr>
      <w:r w:rsidRPr="00BC2121">
        <w:t xml:space="preserve">Consentement et non-opposition : </w:t>
      </w:r>
      <w:r>
        <w:t>ne pas confondre</w:t>
      </w:r>
    </w:p>
    <w:p w14:paraId="44909524" w14:textId="77777777" w:rsidR="00167C30" w:rsidRPr="00FC76C2" w:rsidRDefault="00167C30" w:rsidP="006254C8">
      <w:pPr>
        <w:spacing w:after="0"/>
      </w:pPr>
      <w:r w:rsidRPr="00FC76C2">
        <w:t>Il ne faut pas confondre le consentement avec la non-opposition.</w:t>
      </w:r>
    </w:p>
    <w:p w14:paraId="79B661DD" w14:textId="77777777" w:rsidR="00167C30" w:rsidRPr="00FC76C2" w:rsidRDefault="00167C30" w:rsidP="006254C8">
      <w:pPr>
        <w:pStyle w:val="Paragraphedeliste"/>
        <w:numPr>
          <w:ilvl w:val="0"/>
          <w:numId w:val="34"/>
        </w:numPr>
        <w:spacing w:after="0" w:line="360" w:lineRule="auto"/>
        <w:rPr>
          <w:rFonts w:ascii="Verdana" w:hAnsi="Verdana"/>
          <w:sz w:val="24"/>
          <w:szCs w:val="24"/>
        </w:rPr>
      </w:pPr>
      <w:r w:rsidRPr="00FC76C2">
        <w:rPr>
          <w:rFonts w:ascii="Verdana" w:hAnsi="Verdana"/>
          <w:sz w:val="24"/>
          <w:szCs w:val="24"/>
        </w:rPr>
        <w:t>Le consentement suppose un accord explicite préalable : la personne autorise activement le traitement de ses données.</w:t>
      </w:r>
    </w:p>
    <w:p w14:paraId="64D548AE" w14:textId="77777777" w:rsidR="00167C30" w:rsidRPr="00FC76C2" w:rsidRDefault="00167C30" w:rsidP="006254C8">
      <w:pPr>
        <w:pStyle w:val="Paragraphedeliste"/>
        <w:numPr>
          <w:ilvl w:val="0"/>
          <w:numId w:val="34"/>
        </w:numPr>
        <w:spacing w:after="0" w:line="360" w:lineRule="auto"/>
        <w:rPr>
          <w:rFonts w:ascii="Verdana" w:hAnsi="Verdana"/>
          <w:sz w:val="24"/>
          <w:szCs w:val="24"/>
        </w:rPr>
      </w:pPr>
      <w:r w:rsidRPr="00FC76C2">
        <w:rPr>
          <w:rFonts w:ascii="Verdana" w:hAnsi="Verdana"/>
          <w:sz w:val="24"/>
          <w:szCs w:val="24"/>
        </w:rPr>
        <w:t>La non-opposition, elle, repose sur une autre base légale : le traitement est possible sauf si la personne s’y oppose (article 21 du RGPD). Cette logique s’applique notamment à certaines communications d’intérêt légitime ou à la prospection postale.</w:t>
      </w:r>
    </w:p>
    <w:p w14:paraId="65521C8A" w14:textId="77777777" w:rsidR="00167C30" w:rsidRPr="00FC76C2" w:rsidRDefault="00167C30" w:rsidP="006254C8">
      <w:pPr>
        <w:spacing w:after="0"/>
      </w:pPr>
      <w:r w:rsidRPr="00FC76C2">
        <w:t>Ainsi, le consentement est une autorisation préalable, tandis que la non-opposition est un droit d’opposition exercé a posteriori.</w:t>
      </w:r>
    </w:p>
    <w:p w14:paraId="1A1DD877" w14:textId="144F14C9" w:rsidR="00167C30" w:rsidRPr="00BC2121" w:rsidRDefault="008E11CE" w:rsidP="008E11CE">
      <w:pPr>
        <w:pStyle w:val="Titre3"/>
      </w:pPr>
      <w:r>
        <w:t>À</w:t>
      </w:r>
      <w:r w:rsidR="00167C30" w:rsidRPr="00BC2121">
        <w:t xml:space="preserve"> </w:t>
      </w:r>
      <w:r>
        <w:t>r</w:t>
      </w:r>
      <w:r w:rsidR="00167C30" w:rsidRPr="00BC2121">
        <w:t>etenir</w:t>
      </w:r>
    </w:p>
    <w:p w14:paraId="06060A27" w14:textId="77777777" w:rsidR="00167C30" w:rsidRPr="006254C8" w:rsidRDefault="00167C30" w:rsidP="00167C30">
      <w:r w:rsidRPr="006254C8">
        <w:t>Le consentement constitue une garantie essentielle de la maîtrise par chacun de ses données personnelles. Son obtention doit être transparente, son retrait respecté, et sa distinction avec la non-opposition clairement expliquée.</w:t>
      </w:r>
    </w:p>
    <w:p w14:paraId="30C02122" w14:textId="77777777" w:rsidR="00167C30" w:rsidRPr="006254C8" w:rsidRDefault="00167C30" w:rsidP="00167C30">
      <w:r w:rsidRPr="006254C8">
        <w:t>C’est un pilier du respect des droits des personnes et de la conformité de toute activité de traitement au sein des établissements publics et privés.</w:t>
      </w:r>
    </w:p>
    <w:p w14:paraId="1A365904" w14:textId="77777777" w:rsidR="002F15B7" w:rsidRDefault="00FA0D54">
      <w:pPr>
        <w:spacing w:after="0" w:line="240" w:lineRule="auto"/>
        <w:rPr>
          <w:rFonts w:eastAsiaTheme="majorEastAsia" w:cstheme="majorBidi"/>
          <w:b/>
          <w:color w:val="002060"/>
          <w:sz w:val="36"/>
          <w:szCs w:val="32"/>
        </w:rPr>
      </w:pPr>
      <w:r>
        <w:br w:type="page" w:clear="all"/>
      </w:r>
    </w:p>
    <w:p w14:paraId="3201B2DD" w14:textId="77777777" w:rsidR="002F15B7" w:rsidRDefault="00FA0D54">
      <w:pPr>
        <w:pStyle w:val="Titre1"/>
      </w:pPr>
      <w:bookmarkStart w:id="18" w:name="_Toc211587439"/>
      <w:r>
        <w:lastRenderedPageBreak/>
        <w:t xml:space="preserve">Rubrique numéro 6 : </w:t>
      </w:r>
      <w:bookmarkEnd w:id="16"/>
      <w:bookmarkEnd w:id="17"/>
      <w:r>
        <w:t>Science ouverte</w:t>
      </w:r>
      <w:bookmarkEnd w:id="18"/>
    </w:p>
    <w:p w14:paraId="06379BE9" w14:textId="77777777" w:rsidR="002F15B7" w:rsidRDefault="00FA0D54" w:rsidP="0090480B">
      <w:pPr>
        <w:pStyle w:val="Titre2"/>
      </w:pPr>
      <w:r>
        <w:t>Des nouvelles de l’archive ouverte Hal</w:t>
      </w:r>
    </w:p>
    <w:p w14:paraId="1E64E209" w14:textId="77777777" w:rsidR="002F15B7" w:rsidRDefault="00FA0D54" w:rsidP="0090480B">
      <w:pPr>
        <w:pStyle w:val="Titre3"/>
      </w:pPr>
      <w:r>
        <w:t>ORCID et Hal renforcent leur lien</w:t>
      </w:r>
    </w:p>
    <w:p w14:paraId="1F402313" w14:textId="15AD87BC" w:rsidR="002F15B7" w:rsidRDefault="00FA0D54">
      <w:r>
        <w:t>L’identifiant chercheur ORCID renforce ses liens avec H</w:t>
      </w:r>
      <w:r w:rsidR="00A230B8">
        <w:t xml:space="preserve">al </w:t>
      </w:r>
      <w:r>
        <w:t xml:space="preserve">et renforce la </w:t>
      </w:r>
      <w:r>
        <w:rPr>
          <w:b/>
          <w:bCs/>
        </w:rPr>
        <w:t>visibilité</w:t>
      </w:r>
      <w:r>
        <w:t xml:space="preserve"> de vos dépôts.</w:t>
      </w:r>
    </w:p>
    <w:p w14:paraId="7A8E6564" w14:textId="7DC7BD94" w:rsidR="002F15B7" w:rsidRDefault="00FA0D54">
      <w:r>
        <w:t xml:space="preserve">Pour en savoir plus : </w:t>
      </w:r>
      <w:hyperlink r:id="rId34" w:tooltip="https://doc.hal.science/decouvrir-hal/orcid/" w:history="1">
        <w:r>
          <w:rPr>
            <w:rStyle w:val="Lienhypertexte"/>
          </w:rPr>
          <w:t>https://doc.hal.science/decouvrir-hal/orcid/</w:t>
        </w:r>
      </w:hyperlink>
    </w:p>
    <w:p w14:paraId="5284DB65" w14:textId="77777777" w:rsidR="002F15B7" w:rsidRDefault="00FA0D54" w:rsidP="008733E3">
      <w:pPr>
        <w:pStyle w:val="Titre3"/>
      </w:pPr>
      <w:r>
        <w:t xml:space="preserve">Des échanges automatiques normalisés entre Hal et l’entrepôt </w:t>
      </w:r>
      <w:proofErr w:type="spellStart"/>
      <w:r>
        <w:t>Nakala</w:t>
      </w:r>
      <w:proofErr w:type="spellEnd"/>
    </w:p>
    <w:p w14:paraId="4DE1908D" w14:textId="72C0E0A2" w:rsidR="002F15B7" w:rsidRDefault="00FA0D54">
      <w:r>
        <w:t xml:space="preserve">Hal et </w:t>
      </w:r>
      <w:proofErr w:type="spellStart"/>
      <w:r>
        <w:t>Nakala</w:t>
      </w:r>
      <w:proofErr w:type="spellEnd"/>
      <w:r>
        <w:t xml:space="preserve"> s’associent en proposant un </w:t>
      </w:r>
      <w:r>
        <w:rPr>
          <w:b/>
          <w:bCs/>
        </w:rPr>
        <w:t>protocole</w:t>
      </w:r>
      <w:r>
        <w:t xml:space="preserve"> commun et fiable d’échange automatique de métadonnées, ceci afin de faciliter la découverte de vos publications, et de vos données !</w:t>
      </w:r>
    </w:p>
    <w:p w14:paraId="61734969" w14:textId="3F7D04BD" w:rsidR="002F15B7" w:rsidRDefault="00FA0D54">
      <w:r>
        <w:t xml:space="preserve">Pour en savoir plus : </w:t>
      </w:r>
      <w:hyperlink r:id="rId35" w:history="1">
        <w:r w:rsidRPr="00293CE5">
          <w:rPr>
            <w:rStyle w:val="Lienhypertexte"/>
          </w:rPr>
          <w:t>https://www.ccsd.cnrs.fr/2025/06/lier-publications-et-jeux-de-donnees-des-echanges-automatiques-normalises-entre-hal-et-nakala/</w:t>
        </w:r>
      </w:hyperlink>
    </w:p>
    <w:p w14:paraId="4EA832D7" w14:textId="77777777" w:rsidR="002F15B7" w:rsidRDefault="00FA0D54" w:rsidP="008733E3">
      <w:pPr>
        <w:pStyle w:val="Titre3"/>
      </w:pPr>
      <w:r>
        <w:t>Comprendre le libre accès et ses enjeux</w:t>
      </w:r>
    </w:p>
    <w:p w14:paraId="25B34E74" w14:textId="46AE5E2A" w:rsidR="002F15B7" w:rsidRDefault="00FA0D54">
      <w:r>
        <w:t>Hal-Formation propose un module d’</w:t>
      </w:r>
      <w:r>
        <w:rPr>
          <w:b/>
          <w:bCs/>
        </w:rPr>
        <w:t xml:space="preserve">auto-formation </w:t>
      </w:r>
      <w:r>
        <w:t>(1</w:t>
      </w:r>
      <w:r w:rsidR="00416E5E">
        <w:t xml:space="preserve"> </w:t>
      </w:r>
      <w:r>
        <w:t>h</w:t>
      </w:r>
      <w:r w:rsidR="00416E5E">
        <w:t>eure</w:t>
      </w:r>
      <w:r>
        <w:t xml:space="preserve"> en toute autonomie) donnant les clés de compréhension sur les</w:t>
      </w:r>
      <w:r>
        <w:rPr>
          <w:b/>
          <w:bCs/>
        </w:rPr>
        <w:t xml:space="preserve"> </w:t>
      </w:r>
      <w:r>
        <w:t>modèles actuels du libre accès et leurs conséquences sur les pratiques de publication et de diffusion.</w:t>
      </w:r>
    </w:p>
    <w:p w14:paraId="6AD584A4" w14:textId="77777777" w:rsidR="002F15B7" w:rsidRDefault="00FA0D54">
      <w:r>
        <w:t xml:space="preserve">Pour en savoir plus : </w:t>
      </w:r>
      <w:hyperlink r:id="rId36" w:tooltip="https://learning.hal.science/enrol/synopsis/index.php?id=190" w:history="1">
        <w:r>
          <w:rPr>
            <w:rStyle w:val="Lienhypertexte"/>
          </w:rPr>
          <w:t>https://learning.hal.science/enrol/synopsis/index.php?id=190</w:t>
        </w:r>
      </w:hyperlink>
    </w:p>
    <w:p w14:paraId="1136696A" w14:textId="77777777" w:rsidR="002F15B7" w:rsidRDefault="00FA0D54" w:rsidP="008733E3">
      <w:pPr>
        <w:pStyle w:val="Titre2"/>
      </w:pPr>
      <w:r>
        <w:lastRenderedPageBreak/>
        <w:t>Publications scientifiques</w:t>
      </w:r>
    </w:p>
    <w:p w14:paraId="6F76B9EF" w14:textId="215B4081" w:rsidR="002F15B7" w:rsidRDefault="00FA0D54" w:rsidP="008733E3">
      <w:pPr>
        <w:pStyle w:val="Titre3"/>
      </w:pPr>
      <w:r>
        <w:t xml:space="preserve">Doctorants et jeunes chercheurs : comment </w:t>
      </w:r>
      <w:r w:rsidR="004F256A">
        <w:t>« </w:t>
      </w:r>
      <w:r>
        <w:t>rédiger et publier un article scientifique</w:t>
      </w:r>
      <w:r w:rsidR="004F256A">
        <w:t> »</w:t>
      </w:r>
      <w:r>
        <w:t xml:space="preserve"> ? </w:t>
      </w:r>
    </w:p>
    <w:p w14:paraId="68439E43" w14:textId="6D90A7C5" w:rsidR="002F15B7" w:rsidRDefault="00FA0D54">
      <w:r>
        <w:t xml:space="preserve">Pour connaître les </w:t>
      </w:r>
      <w:r>
        <w:rPr>
          <w:b/>
          <w:bCs/>
        </w:rPr>
        <w:t>règles de publications</w:t>
      </w:r>
      <w:r>
        <w:t xml:space="preserve"> et savoir répondre aux exigences de revues internationales, s’informer sur la publication en accès ouvert, l’utilisation d’archive ouverte ou la transparence des données, c’est ici :</w:t>
      </w:r>
      <w:r w:rsidR="00A230B8">
        <w:t xml:space="preserve"> </w:t>
      </w:r>
      <w:hyperlink r:id="rId37" w:history="1">
        <w:r w:rsidR="00A230B8" w:rsidRPr="0095075C">
          <w:rPr>
            <w:rStyle w:val="Lienhypertexte"/>
          </w:rPr>
          <w:t>https://www.fun-mooc.fr/fr/cours/rediger-et-publier-un-article-scientifique/?edit&amp;language=fr</w:t>
        </w:r>
      </w:hyperlink>
    </w:p>
    <w:p w14:paraId="06329345" w14:textId="77777777" w:rsidR="002F15B7" w:rsidRDefault="00FA0D54" w:rsidP="00416602">
      <w:pPr>
        <w:pStyle w:val="Titre3"/>
      </w:pPr>
      <w:r>
        <w:t>Pré-</w:t>
      </w:r>
      <w:proofErr w:type="spellStart"/>
      <w:r>
        <w:t>print</w:t>
      </w:r>
      <w:proofErr w:type="spellEnd"/>
      <w:r>
        <w:t xml:space="preserve">, </w:t>
      </w:r>
      <w:proofErr w:type="spellStart"/>
      <w:r>
        <w:t>peer</w:t>
      </w:r>
      <w:proofErr w:type="spellEnd"/>
      <w:r>
        <w:t xml:space="preserve"> </w:t>
      </w:r>
      <w:proofErr w:type="spellStart"/>
      <w:r>
        <w:t>review</w:t>
      </w:r>
      <w:proofErr w:type="spellEnd"/>
      <w:r>
        <w:t xml:space="preserve">, revues prédatrices… quésaco ? </w:t>
      </w:r>
    </w:p>
    <w:p w14:paraId="5D48779C" w14:textId="2F5EFF2F" w:rsidR="002F15B7" w:rsidRDefault="00FA0D54">
      <w:r>
        <w:t>L’</w:t>
      </w:r>
      <w:r w:rsidR="00A230B8">
        <w:t>O</w:t>
      </w:r>
      <w:r>
        <w:t xml:space="preserve">bservatoire de l’édition scientifique publie un </w:t>
      </w:r>
      <w:r>
        <w:rPr>
          <w:b/>
          <w:bCs/>
        </w:rPr>
        <w:t>glossaire de l’édition scientifique</w:t>
      </w:r>
      <w:r>
        <w:t xml:space="preserve"> pour tout comprendre des acteurs, des processus et de la terminologie utilisée dans le monde de l’édition scientifique.</w:t>
      </w:r>
    </w:p>
    <w:p w14:paraId="402188B1" w14:textId="0F8181F7" w:rsidR="002F15B7" w:rsidRDefault="00FA0D54">
      <w:r>
        <w:t xml:space="preserve">Pour en savoir plus : </w:t>
      </w:r>
      <w:hyperlink r:id="rId38" w:history="1">
        <w:r w:rsidRPr="00B31654">
          <w:rPr>
            <w:rStyle w:val="Lienhypertexte"/>
          </w:rPr>
          <w:t>https://www.enseignementsup-recherche.gouv.fr/sites/default/files/2025-07/glossaire-de-l-dition-scientifique-37517.pdf</w:t>
        </w:r>
      </w:hyperlink>
    </w:p>
    <w:p w14:paraId="66026BBD" w14:textId="77777777" w:rsidR="002F15B7" w:rsidRDefault="00FA0D54" w:rsidP="00B31654">
      <w:pPr>
        <w:pStyle w:val="Titre2"/>
      </w:pPr>
      <w:r>
        <w:t>Actualités au niveau national, européen et international</w:t>
      </w:r>
    </w:p>
    <w:p w14:paraId="05EC1312" w14:textId="560E570E" w:rsidR="002F15B7" w:rsidRDefault="00FA0D54" w:rsidP="00B31654">
      <w:pPr>
        <w:pStyle w:val="Titre3"/>
      </w:pPr>
      <w:r>
        <w:t xml:space="preserve">Plan de gestion de données : nouveautés DMP </w:t>
      </w:r>
      <w:proofErr w:type="spellStart"/>
      <w:r>
        <w:t>OPIDoR</w:t>
      </w:r>
      <w:proofErr w:type="spellEnd"/>
    </w:p>
    <w:p w14:paraId="4CA4521C" w14:textId="3B6EF765" w:rsidR="002F15B7" w:rsidRDefault="00FA0D54">
      <w:r>
        <w:t xml:space="preserve">Afin de </w:t>
      </w:r>
      <w:r>
        <w:rPr>
          <w:b/>
          <w:bCs/>
        </w:rPr>
        <w:t>partager vos plans de gestion de données</w:t>
      </w:r>
      <w:r>
        <w:t xml:space="preserve"> plus facilement dans le cadre d’un </w:t>
      </w:r>
      <w:r>
        <w:rPr>
          <w:b/>
          <w:bCs/>
        </w:rPr>
        <w:t>projet ANR</w:t>
      </w:r>
      <w:r>
        <w:t xml:space="preserve">, il est désormais possible de le faire directement depuis la plateforme DMP </w:t>
      </w:r>
      <w:proofErr w:type="spellStart"/>
      <w:r>
        <w:t>OPIDoR</w:t>
      </w:r>
      <w:proofErr w:type="spellEnd"/>
      <w:r>
        <w:t>, ceci à condition d’avoir utilisé le modèle commun structuré de PGD.</w:t>
      </w:r>
    </w:p>
    <w:p w14:paraId="56EEDB54" w14:textId="15BDC93F" w:rsidR="002F15B7" w:rsidRDefault="00FA0D54">
      <w:r>
        <w:t>Pour en savoir plus :</w:t>
      </w:r>
      <w:r w:rsidR="007D0D69">
        <w:t xml:space="preserve"> </w:t>
      </w:r>
      <w:hyperlink r:id="rId39" w:history="1">
        <w:r w:rsidRPr="00161EBC">
          <w:rPr>
            <w:rStyle w:val="Lienhypertexte"/>
          </w:rPr>
          <w:t>https://opidor.fr/nouveautes-dmp-opidor/</w:t>
        </w:r>
      </w:hyperlink>
    </w:p>
    <w:p w14:paraId="3C1F2A78" w14:textId="77777777" w:rsidR="002F15B7" w:rsidRDefault="00FA0D54" w:rsidP="00573D20">
      <w:pPr>
        <w:pStyle w:val="Titre3"/>
      </w:pPr>
      <w:r>
        <w:t>Rapport d’activité du Fonds national pour la science ouverte 2022-2024</w:t>
      </w:r>
    </w:p>
    <w:p w14:paraId="12AD000F" w14:textId="77777777" w:rsidR="002F15B7" w:rsidRDefault="00FA0D54">
      <w:r>
        <w:t xml:space="preserve">Le deuxième rapport d’activité du groupement d’intérêt scientifique Fonds national pour la science ouverte (FNSO) présente les </w:t>
      </w:r>
      <w:r>
        <w:rPr>
          <w:b/>
          <w:bCs/>
        </w:rPr>
        <w:t xml:space="preserve">appels à projets </w:t>
      </w:r>
      <w:r>
        <w:rPr>
          <w:b/>
          <w:bCs/>
        </w:rPr>
        <w:lastRenderedPageBreak/>
        <w:t>financés</w:t>
      </w:r>
      <w:r>
        <w:t xml:space="preserve"> et les soutiens financiers mobilisés sur la période 2022-2024 pour la </w:t>
      </w:r>
      <w:r>
        <w:rPr>
          <w:b/>
          <w:bCs/>
        </w:rPr>
        <w:t>réalisation du second Plan national pour la science ouverte</w:t>
      </w:r>
      <w:r>
        <w:t>.</w:t>
      </w:r>
    </w:p>
    <w:p w14:paraId="11E7F759" w14:textId="25A23C2D" w:rsidR="002F15B7" w:rsidRDefault="00FA0D54">
      <w:r>
        <w:t xml:space="preserve">Pour en savoir plus : </w:t>
      </w:r>
      <w:hyperlink r:id="rId40" w:history="1">
        <w:r w:rsidRPr="00FB2BAA">
          <w:rPr>
            <w:rStyle w:val="Lienhypertexte"/>
          </w:rPr>
          <w:t>https://www.ouvrirlascience.fr/rapport-dactivite-du-groupement-dinteret-scientifique-fonds-national-pour-la-science-ouverte-2022-2024/</w:t>
        </w:r>
      </w:hyperlink>
    </w:p>
    <w:p w14:paraId="6D58A981" w14:textId="77777777" w:rsidR="002F15B7" w:rsidRDefault="00FA0D54" w:rsidP="00FB2BAA">
      <w:pPr>
        <w:pStyle w:val="Titre3"/>
      </w:pPr>
      <w:r>
        <w:t>FIDELIS : lancement du réseau européen d’entrepôts de confiance</w:t>
      </w:r>
    </w:p>
    <w:p w14:paraId="7D6B9E30" w14:textId="68260E80" w:rsidR="002F15B7" w:rsidRDefault="00FA0D54">
      <w:r>
        <w:t xml:space="preserve">Le projet FIDELIS, financé par l’un des appels du programme Horizon Europe venant en soutien au </w:t>
      </w:r>
      <w:proofErr w:type="spellStart"/>
      <w:r w:rsidRPr="0023465D">
        <w:t>European</w:t>
      </w:r>
      <w:proofErr w:type="spellEnd"/>
      <w:r w:rsidRPr="0023465D">
        <w:t xml:space="preserve"> Open Science Cloud (EOSC)</w:t>
      </w:r>
      <w:r>
        <w:t>, a été lancé d</w:t>
      </w:r>
      <w:r w:rsidR="007954EE">
        <w:t>ans</w:t>
      </w:r>
      <w:r>
        <w:t xml:space="preserve"> l’objectif de </w:t>
      </w:r>
      <w:r>
        <w:rPr>
          <w:b/>
          <w:bCs/>
        </w:rPr>
        <w:t>créer et consolider un réseau européen des dépôts numériques de confiance</w:t>
      </w:r>
      <w:r>
        <w:t>, contribuant ainsi à la coordination de l’interopérabilité entre entrepôts.</w:t>
      </w:r>
    </w:p>
    <w:p w14:paraId="24A0A009" w14:textId="3E25DCE2" w:rsidR="002F15B7" w:rsidRDefault="00FA0D54">
      <w:r>
        <w:t xml:space="preserve">Pour en savoir plus : </w:t>
      </w:r>
      <w:hyperlink r:id="rId41" w:history="1">
        <w:r w:rsidRPr="00B714B7">
          <w:rPr>
            <w:rStyle w:val="Lienhypertexte"/>
          </w:rPr>
          <w:t>https://cordis.europa.eu/project/id/101188078/fr</w:t>
        </w:r>
      </w:hyperlink>
    </w:p>
    <w:p w14:paraId="3E0CE444" w14:textId="77777777" w:rsidR="002F15B7" w:rsidRDefault="00FA0D54" w:rsidP="009625AA">
      <w:pPr>
        <w:pStyle w:val="Titre3"/>
      </w:pPr>
      <w:r>
        <w:t>Publication des Principes d’OSMI (</w:t>
      </w:r>
      <w:r w:rsidRPr="0023465D">
        <w:rPr>
          <w:i/>
          <w:iCs/>
        </w:rPr>
        <w:t>Open Science Monitoring Initiative</w:t>
      </w:r>
      <w:r>
        <w:t>)</w:t>
      </w:r>
    </w:p>
    <w:p w14:paraId="0F9DD268" w14:textId="77777777" w:rsidR="002F15B7" w:rsidRDefault="00FA0D54">
      <w:r>
        <w:t xml:space="preserve">Les « Principes pour mesurer l’ouverture de la science » ont été publiés cet été. Structuré autour de trois grands principes, le document se veut être un cadre pour le développement de bonnes pratiques pour la mesure de l’évaluation des pratiques de science ouverte et de leurs impacts. </w:t>
      </w:r>
    </w:p>
    <w:p w14:paraId="1E3AE4BA" w14:textId="6DB2BDE2" w:rsidR="002F15B7" w:rsidRDefault="00FA0D54">
      <w:r>
        <w:t xml:space="preserve">Pour en savoir plus : </w:t>
      </w:r>
      <w:hyperlink r:id="rId42" w:history="1">
        <w:r w:rsidRPr="008B6544">
          <w:rPr>
            <w:rStyle w:val="Lienhypertexte"/>
          </w:rPr>
          <w:t>https://open-science-monitoring.org/principles/</w:t>
        </w:r>
      </w:hyperlink>
    </w:p>
    <w:p w14:paraId="54656B77" w14:textId="77777777" w:rsidR="002F15B7" w:rsidRDefault="00FA0D54">
      <w:pPr>
        <w:pStyle w:val="Titre1"/>
      </w:pPr>
      <w:bookmarkStart w:id="19" w:name="_Toc189733280"/>
      <w:bookmarkStart w:id="20" w:name="_Toc189733345"/>
      <w:r>
        <w:br w:type="page" w:clear="all"/>
      </w:r>
    </w:p>
    <w:p w14:paraId="51D8A166" w14:textId="77777777" w:rsidR="002F15B7" w:rsidRDefault="00FA0D54" w:rsidP="00264447">
      <w:pPr>
        <w:pStyle w:val="Titre1"/>
      </w:pPr>
      <w:bookmarkStart w:id="21" w:name="_Toc211587440"/>
      <w:r>
        <w:lastRenderedPageBreak/>
        <w:t>Rubrique numéro 7 : À vos agendas</w:t>
      </w:r>
      <w:bookmarkEnd w:id="21"/>
    </w:p>
    <w:p w14:paraId="76241ACB" w14:textId="52B72861" w:rsidR="002F15B7" w:rsidRDefault="00FA0D54" w:rsidP="00835376">
      <w:pPr>
        <w:spacing w:after="240"/>
      </w:pPr>
      <w:r>
        <w:t xml:space="preserve">Le </w:t>
      </w:r>
      <w:r>
        <w:rPr>
          <w:b/>
          <w:bCs/>
        </w:rPr>
        <w:t>webinaire international</w:t>
      </w:r>
      <w:r>
        <w:t xml:space="preserve"> « </w:t>
      </w:r>
      <w:r>
        <w:rPr>
          <w:b/>
          <w:bCs/>
        </w:rPr>
        <w:t>Les enjeux politiques du travail d’encadrement intermédiaire en éducation : approches comparées </w:t>
      </w:r>
      <w:r>
        <w:t>» aura lieu le mardi d’octobre 2025 à novembre 2026, de 14 à 16</w:t>
      </w:r>
      <w:r w:rsidR="00DA3342">
        <w:t xml:space="preserve"> </w:t>
      </w:r>
      <w:r>
        <w:t>h</w:t>
      </w:r>
      <w:r w:rsidR="00DA3342">
        <w:t>eures</w:t>
      </w:r>
      <w:r>
        <w:t xml:space="preserve"> (</w:t>
      </w:r>
      <w:hyperlink r:id="rId43" w:tooltip="https://univ-lyon1-fr.zoom.us/j/87289949657?pwd=bLFjvyzt7dugrgr6466YK2deSJcQNa.1" w:history="1">
        <w:r>
          <w:rPr>
            <w:rStyle w:val="Lienhypertexte"/>
          </w:rPr>
          <w:t>https://univ-lyon1-fr.zoom.us/j/87289949657?pwd=bLFjvyzt7dugrgr6466YK2deSJcQNa.1</w:t>
        </w:r>
      </w:hyperlink>
      <w:r>
        <w:t>)</w:t>
      </w:r>
      <w:r w:rsidR="00911989">
        <w:t xml:space="preserve"> </w:t>
      </w:r>
      <w:r w:rsidR="00911989">
        <w:br/>
      </w:r>
      <w:r>
        <w:t xml:space="preserve">Pour en savoir plus : </w:t>
      </w:r>
      <w:hyperlink r:id="rId44" w:history="1">
        <w:r w:rsidRPr="000249AC">
          <w:rPr>
            <w:rStyle w:val="Lienhypertexte"/>
          </w:rPr>
          <w:t>https://www.csa-scs.ca/files/www/New_Items/Webinaire_Cadres_Programme.pdf</w:t>
        </w:r>
      </w:hyperlink>
    </w:p>
    <w:p w14:paraId="32C16B4B" w14:textId="6D36D9CA" w:rsidR="002F15B7" w:rsidRDefault="00FA0D54" w:rsidP="00911989">
      <w:pPr>
        <w:spacing w:after="240"/>
      </w:pPr>
      <w:r>
        <w:t xml:space="preserve">Le </w:t>
      </w:r>
      <w:r>
        <w:rPr>
          <w:b/>
          <w:bCs/>
        </w:rPr>
        <w:t>colloque « Ajustements discursifs et interactionnels en contexte de handicap communicationnel »</w:t>
      </w:r>
      <w:r>
        <w:t xml:space="preserve"> aura lieu du 15 au 16 octobre 2025 à Montpellier. Pour en savoir plus : </w:t>
      </w:r>
      <w:hyperlink r:id="rId45" w:tooltip="https://calenda.org/1235739" w:history="1">
        <w:r>
          <w:rPr>
            <w:rStyle w:val="Lienhypertexte"/>
          </w:rPr>
          <w:t>https://calenda.org/1235739</w:t>
        </w:r>
      </w:hyperlink>
    </w:p>
    <w:p w14:paraId="0E03FFDD" w14:textId="4640B61A" w:rsidR="002F15B7" w:rsidRDefault="00FA0D54" w:rsidP="008C3C7C">
      <w:pPr>
        <w:spacing w:after="240"/>
      </w:pPr>
      <w:r>
        <w:t xml:space="preserve">Le </w:t>
      </w:r>
      <w:r>
        <w:rPr>
          <w:b/>
          <w:bCs/>
        </w:rPr>
        <w:t>colloque « Les arènes paralympiques. Équipements, institutions, performances »</w:t>
      </w:r>
      <w:r>
        <w:t xml:space="preserve"> se déroulera du 15 au 17 octobre 2025 à Limoges.</w:t>
      </w:r>
      <w:r w:rsidR="008A5B68">
        <w:t xml:space="preserve"> </w:t>
      </w:r>
      <w:r>
        <w:t xml:space="preserve">Pour en savoir plus : </w:t>
      </w:r>
      <w:hyperlink r:id="rId46" w:tooltip="https://calenda.org/1223938" w:history="1">
        <w:r>
          <w:rPr>
            <w:rStyle w:val="Lienhypertexte"/>
          </w:rPr>
          <w:t>https://calenda.org/1223938</w:t>
        </w:r>
      </w:hyperlink>
    </w:p>
    <w:p w14:paraId="3AF5026B" w14:textId="7D43C33B" w:rsidR="002F15B7" w:rsidRDefault="00FA0D54" w:rsidP="007276D8">
      <w:pPr>
        <w:spacing w:after="240"/>
      </w:pPr>
      <w:r>
        <w:t xml:space="preserve">Le </w:t>
      </w:r>
      <w:r>
        <w:rPr>
          <w:b/>
          <w:bCs/>
        </w:rPr>
        <w:t xml:space="preserve">colloque « Actualités et perspectives de la recherche en bande dessinée » </w:t>
      </w:r>
      <w:r>
        <w:t>est prévu du 15 au 18 octobre 2025.</w:t>
      </w:r>
      <w:r w:rsidR="009B2304">
        <w:t xml:space="preserve"> </w:t>
      </w:r>
      <w:r>
        <w:t xml:space="preserve">Pour en savoir plus : </w:t>
      </w:r>
      <w:hyperlink r:id="rId47" w:tooltip="https://calenda.org/1236177" w:history="1">
        <w:r>
          <w:rPr>
            <w:rStyle w:val="Lienhypertexte"/>
          </w:rPr>
          <w:t>https://calenda.org/1236177</w:t>
        </w:r>
      </w:hyperlink>
    </w:p>
    <w:p w14:paraId="412E59CF" w14:textId="6206E3DB" w:rsidR="002F15B7" w:rsidRPr="0078713B" w:rsidRDefault="00FA0D54" w:rsidP="000273D6">
      <w:pPr>
        <w:spacing w:after="240"/>
      </w:pPr>
      <w:r>
        <w:t xml:space="preserve">Le </w:t>
      </w:r>
      <w:r>
        <w:rPr>
          <w:b/>
          <w:bCs/>
        </w:rPr>
        <w:t xml:space="preserve">webinaire « Atlas de tous les talents : le management inclusif » </w:t>
      </w:r>
      <w:r>
        <w:t>aura lieu le 16 octobre 2025 de 10 à 12</w:t>
      </w:r>
      <w:r w:rsidR="00203B2F">
        <w:t xml:space="preserve"> </w:t>
      </w:r>
      <w:r>
        <w:t>h (en ligne)</w:t>
      </w:r>
      <w:r w:rsidR="0078713B">
        <w:t xml:space="preserve">. </w:t>
      </w:r>
      <w:r w:rsidR="0078713B">
        <w:br/>
      </w:r>
      <w:r>
        <w:t xml:space="preserve">Pour en savoir plus : </w:t>
      </w:r>
      <w:hyperlink r:id="rId48" w:history="1">
        <w:r w:rsidR="008B161D" w:rsidRPr="00050200">
          <w:rPr>
            <w:rStyle w:val="Lienhypertexte"/>
          </w:rPr>
          <w:t>https://www.opco-atlas.fr/atlas/evenement/atlas-de-tous-les-talents-2025.html</w:t>
        </w:r>
      </w:hyperlink>
    </w:p>
    <w:p w14:paraId="5F3AF997" w14:textId="6008382F" w:rsidR="00A60CAA" w:rsidRDefault="00FA0D54" w:rsidP="00402554">
      <w:pPr>
        <w:spacing w:after="240"/>
      </w:pPr>
      <w:r>
        <w:t xml:space="preserve">Le </w:t>
      </w:r>
      <w:r>
        <w:rPr>
          <w:b/>
          <w:bCs/>
        </w:rPr>
        <w:t>colloque « Parcours et formation des jeunes : éclairages théoriques et méthodologiques, mises en œuvre de pratiques inspirantes »</w:t>
      </w:r>
      <w:r>
        <w:t>, en partenariat avec l</w:t>
      </w:r>
      <w:r w:rsidR="007954EE">
        <w:t>’</w:t>
      </w:r>
      <w:proofErr w:type="spellStart"/>
      <w:r w:rsidR="007954EE">
        <w:t>I</w:t>
      </w:r>
      <w:r w:rsidR="00DD2D93">
        <w:t>n</w:t>
      </w:r>
      <w:r w:rsidR="00C21258">
        <w:t>spé</w:t>
      </w:r>
      <w:proofErr w:type="spellEnd"/>
      <w:r>
        <w:t xml:space="preserve"> de Caen, aura lieu du 20 au 21</w:t>
      </w:r>
      <w:r w:rsidR="00203B2F">
        <w:t> </w:t>
      </w:r>
      <w:r>
        <w:t>octobre 2025 à l</w:t>
      </w:r>
      <w:r w:rsidR="007954EE">
        <w:t>’</w:t>
      </w:r>
      <w:r>
        <w:t xml:space="preserve">Université de Caen. </w:t>
      </w:r>
      <w:r w:rsidR="000273D6">
        <w:br/>
      </w:r>
      <w:r>
        <w:t>Pour en savoir plus :</w:t>
      </w:r>
      <w:r w:rsidR="00422A7C">
        <w:t xml:space="preserve"> </w:t>
      </w:r>
      <w:bookmarkStart w:id="22" w:name="_Hlk210720673"/>
      <w:r w:rsidR="00972AD3">
        <w:fldChar w:fldCharType="begin"/>
      </w:r>
      <w:r w:rsidR="00972AD3">
        <w:instrText>HYPERLINK "https://www.insei.fr/evenement/colloque-du-lisis-parcours-et-formation-des-jeunes"</w:instrText>
      </w:r>
      <w:r w:rsidR="00972AD3">
        <w:fldChar w:fldCharType="separate"/>
      </w:r>
      <w:r w:rsidR="00A60CAA" w:rsidRPr="00972AD3">
        <w:rPr>
          <w:rStyle w:val="Lienhypertexte"/>
        </w:rPr>
        <w:t>https://www.insei.fr/evenement/colloque-du-lisis-parcours-et-formation-des-jeunes</w:t>
      </w:r>
      <w:r w:rsidR="00972AD3">
        <w:fldChar w:fldCharType="end"/>
      </w:r>
    </w:p>
    <w:bookmarkEnd w:id="22"/>
    <w:p w14:paraId="7391F15E" w14:textId="36603E56" w:rsidR="002F15B7" w:rsidRDefault="00FA0D54" w:rsidP="002C1D7D">
      <w:pPr>
        <w:spacing w:after="240"/>
      </w:pPr>
      <w:r>
        <w:lastRenderedPageBreak/>
        <w:t>L’</w:t>
      </w:r>
      <w:r>
        <w:rPr>
          <w:b/>
          <w:bCs/>
        </w:rPr>
        <w:t>appel à contribution</w:t>
      </w:r>
      <w:r w:rsidR="007954EE">
        <w:rPr>
          <w:b/>
          <w:bCs/>
        </w:rPr>
        <w:t>s</w:t>
      </w:r>
      <w:r>
        <w:rPr>
          <w:b/>
          <w:bCs/>
        </w:rPr>
        <w:t xml:space="preserve"> « La prise en compte de l’inclusion et de la diversité en enseignement supérieur »</w:t>
      </w:r>
      <w:r>
        <w:t xml:space="preserve"> pour la </w:t>
      </w:r>
      <w:r>
        <w:rPr>
          <w:b/>
          <w:bCs/>
        </w:rPr>
        <w:t xml:space="preserve">revue « Diversité urbaine » </w:t>
      </w:r>
      <w:r>
        <w:t>a été lancé. La date limite de la soumission des propositions est le 30 octobre 2025.</w:t>
      </w:r>
      <w:r w:rsidR="002C1D7D">
        <w:t xml:space="preserve"> </w:t>
      </w:r>
      <w:r>
        <w:t xml:space="preserve">Pour en savoir plus : </w:t>
      </w:r>
      <w:hyperlink r:id="rId49" w:history="1">
        <w:r w:rsidR="00BC148C" w:rsidRPr="00BC148C">
          <w:rPr>
            <w:rStyle w:val="Lienhypertexte"/>
          </w:rPr>
          <w:t>https://calenda.org/1264049</w:t>
        </w:r>
      </w:hyperlink>
    </w:p>
    <w:p w14:paraId="33A27BFA" w14:textId="4C244F6E" w:rsidR="002F15B7" w:rsidRDefault="00FA0D54" w:rsidP="00A14080">
      <w:pPr>
        <w:spacing w:after="240"/>
      </w:pPr>
      <w:r w:rsidRPr="007954EE">
        <w:t>L’</w:t>
      </w:r>
      <w:r w:rsidRPr="007954EE">
        <w:rPr>
          <w:b/>
          <w:bCs/>
        </w:rPr>
        <w:t>appel à contributions</w:t>
      </w:r>
      <w:r>
        <w:rPr>
          <w:b/>
          <w:bCs/>
        </w:rPr>
        <w:t xml:space="preserve"> </w:t>
      </w:r>
      <w:r>
        <w:t xml:space="preserve">pour le </w:t>
      </w:r>
      <w:r w:rsidR="002C1D7D">
        <w:rPr>
          <w:b/>
          <w:bCs/>
        </w:rPr>
        <w:t>troisième</w:t>
      </w:r>
      <w:r>
        <w:rPr>
          <w:b/>
          <w:bCs/>
        </w:rPr>
        <w:t xml:space="preserve"> colloque international </w:t>
      </w:r>
      <w:proofErr w:type="spellStart"/>
      <w:r>
        <w:rPr>
          <w:b/>
          <w:bCs/>
        </w:rPr>
        <w:t>Egalisup</w:t>
      </w:r>
      <w:proofErr w:type="spellEnd"/>
      <w:r>
        <w:t xml:space="preserve"> a été lancé. Son thème est </w:t>
      </w:r>
      <w:r>
        <w:rPr>
          <w:b/>
          <w:bCs/>
        </w:rPr>
        <w:t>« Du secondaire au supérieur : égalité pour toutes et tous ? »</w:t>
      </w:r>
      <w:r>
        <w:t xml:space="preserve"> Il s’articulera autour de 3 axes : « La diversité et l’inclusion des nouveaux publics de l’enseignement supérieur », « L’orientation du secondaire au supérieur » et « Les pratiques d’évaluation, la sélection et les dispositifs de remédiation ». Le colloque se tiendra du 22 au 24 juin 2026 à Rouen. La date limite de dépôt d</w:t>
      </w:r>
      <w:r w:rsidR="007954EE">
        <w:t>’u</w:t>
      </w:r>
      <w:r>
        <w:t>ne proposition de communication est le 1</w:t>
      </w:r>
      <w:r w:rsidRPr="0050277A">
        <w:rPr>
          <w:rFonts w:cs="Times New Roman (Corps CS)"/>
          <w:vertAlign w:val="superscript"/>
        </w:rPr>
        <w:t>er</w:t>
      </w:r>
      <w:r>
        <w:t xml:space="preserve"> novembre 2025.</w:t>
      </w:r>
      <w:r w:rsidR="00C65677">
        <w:t xml:space="preserve"> </w:t>
      </w:r>
      <w:r w:rsidR="00C65677">
        <w:br/>
      </w:r>
      <w:r>
        <w:t xml:space="preserve">Pour en savoir plus : </w:t>
      </w:r>
      <w:hyperlink r:id="rId50" w:tooltip="https://egalisup3.sciencesconf.org/" w:history="1">
        <w:r>
          <w:rPr>
            <w:rStyle w:val="Lienhypertexte"/>
            <w:color w:val="auto"/>
          </w:rPr>
          <w:t>https://egalisup3.sciencesconf.org/</w:t>
        </w:r>
      </w:hyperlink>
    </w:p>
    <w:p w14:paraId="47B139C9" w14:textId="47F1E377" w:rsidR="002F15B7" w:rsidRDefault="00FA0D54" w:rsidP="00A14080">
      <w:pPr>
        <w:spacing w:after="240"/>
      </w:pPr>
      <w:r>
        <w:t xml:space="preserve">Le </w:t>
      </w:r>
      <w:r>
        <w:rPr>
          <w:b/>
          <w:bCs/>
        </w:rPr>
        <w:t>colloque « 10 ans</w:t>
      </w:r>
      <w:r w:rsidR="00A230B8">
        <w:rPr>
          <w:b/>
          <w:bCs/>
        </w:rPr>
        <w:t xml:space="preserve"> des</w:t>
      </w:r>
      <w:r>
        <w:rPr>
          <w:b/>
          <w:bCs/>
        </w:rPr>
        <w:t xml:space="preserve"> cahiers de la lutte contre les discriminations »</w:t>
      </w:r>
      <w:r>
        <w:t xml:space="preserve"> </w:t>
      </w:r>
      <w:proofErr w:type="gramStart"/>
      <w:r>
        <w:t>aura</w:t>
      </w:r>
      <w:proofErr w:type="gramEnd"/>
      <w:r>
        <w:t xml:space="preserve"> lieu du 6 au 7 novembre 2025 à Poitiers.</w:t>
      </w:r>
      <w:r w:rsidR="006B1646">
        <w:t xml:space="preserve"> </w:t>
      </w:r>
      <w:r w:rsidR="006B1646">
        <w:br/>
      </w:r>
      <w:r>
        <w:t xml:space="preserve">Pour en savoir plus : </w:t>
      </w:r>
      <w:hyperlink r:id="rId51" w:history="1">
        <w:r w:rsidRPr="0008197B">
          <w:rPr>
            <w:rStyle w:val="Lienhypertexte"/>
          </w:rPr>
          <w:t>https://calenda.org/1283126</w:t>
        </w:r>
      </w:hyperlink>
    </w:p>
    <w:p w14:paraId="1F0C3ABA" w14:textId="6D6EBAE1" w:rsidR="002F15B7" w:rsidRDefault="00FA0D54" w:rsidP="00036417">
      <w:pPr>
        <w:spacing w:after="240"/>
      </w:pPr>
      <w:r>
        <w:t xml:space="preserve">Le </w:t>
      </w:r>
      <w:r>
        <w:rPr>
          <w:b/>
          <w:bCs/>
        </w:rPr>
        <w:t>colloque « Ce que peut faire, défaire, refaire la formation universitaire par la recherche, dans l’exercice des métiers du social »</w:t>
      </w:r>
      <w:r>
        <w:t xml:space="preserve"> aura lieu du 12 au 14 novembre 2025 à Rennes.</w:t>
      </w:r>
      <w:r w:rsidR="005C60B8">
        <w:t xml:space="preserve"> </w:t>
      </w:r>
      <w:r w:rsidR="005C60B8">
        <w:br/>
      </w:r>
      <w:r>
        <w:t xml:space="preserve">Pour en savoir plus : </w:t>
      </w:r>
      <w:hyperlink r:id="rId52" w:tooltip="https://socialrufs2025.sciencesconf.org/?lang=fr" w:history="1">
        <w:r>
          <w:rPr>
            <w:rStyle w:val="Lienhypertexte"/>
          </w:rPr>
          <w:t>https://socialrufs2025.sciencesconf.org/?lang=fr</w:t>
        </w:r>
      </w:hyperlink>
    </w:p>
    <w:p w14:paraId="125D3A2D" w14:textId="63800754" w:rsidR="002F15B7" w:rsidRDefault="00FA0D54" w:rsidP="00A5514F">
      <w:pPr>
        <w:spacing w:after="240"/>
      </w:pPr>
      <w:r>
        <w:t xml:space="preserve">Le </w:t>
      </w:r>
      <w:r>
        <w:rPr>
          <w:b/>
          <w:bCs/>
        </w:rPr>
        <w:t>colloque « Recherches, accompagnements, nouvelles technologies… Quelles avancées pratiques pour le quotidien ? »</w:t>
      </w:r>
      <w:r>
        <w:t>, dédié aux avancées pratiques dans le domaine de la surdité de l’enfant, aura lieu du 13 au 14 novembre 2025 à Paris.</w:t>
      </w:r>
      <w:r w:rsidR="007378BE">
        <w:t xml:space="preserve"> </w:t>
      </w:r>
      <w:r w:rsidR="007378BE">
        <w:br/>
      </w:r>
      <w:r>
        <w:t xml:space="preserve">Pour en savoir plus : </w:t>
      </w:r>
      <w:hyperlink r:id="rId53" w:history="1">
        <w:r w:rsidR="00A5514F" w:rsidRPr="00A5514F">
          <w:rPr>
            <w:rStyle w:val="Lienhypertexte"/>
          </w:rPr>
          <w:t>https://www.acfos.org/wp-content/uploads/A21-Acfos-Surdite-en-2025.pdf</w:t>
        </w:r>
      </w:hyperlink>
    </w:p>
    <w:p w14:paraId="4E76F89E" w14:textId="5E6EE1FE" w:rsidR="002F15B7" w:rsidRDefault="00FA0D54" w:rsidP="006B0F20">
      <w:pPr>
        <w:spacing w:after="240"/>
      </w:pPr>
      <w:r>
        <w:t xml:space="preserve">Le </w:t>
      </w:r>
      <w:r>
        <w:rPr>
          <w:b/>
          <w:bCs/>
        </w:rPr>
        <w:t>colloque « E-accessibilité »</w:t>
      </w:r>
      <w:r>
        <w:t>, consacré aux handicaps invisibles dans l’espace numérique, se déroulera le 21 novembre 2025 en ligne.</w:t>
      </w:r>
      <w:r w:rsidR="006B0F20">
        <w:t xml:space="preserve"> </w:t>
      </w:r>
      <w:r w:rsidR="006B0F20">
        <w:br/>
      </w:r>
      <w:r>
        <w:lastRenderedPageBreak/>
        <w:t xml:space="preserve">Pour en savoir plus : </w:t>
      </w:r>
      <w:hyperlink r:id="rId54" w:history="1">
        <w:r w:rsidRPr="000271ED">
          <w:rPr>
            <w:rStyle w:val="Lienhypertexte"/>
          </w:rPr>
          <w:t>https://www.ebgb.admin.ch/fr/colloque-e-accessibilite-du-21-novembre-2025</w:t>
        </w:r>
      </w:hyperlink>
    </w:p>
    <w:p w14:paraId="7300FC1F" w14:textId="1FCA8BA2" w:rsidR="002F15B7" w:rsidRDefault="00FA0D54" w:rsidP="008E0E05">
      <w:pPr>
        <w:spacing w:after="240"/>
        <w:rPr>
          <w:rStyle w:val="Lienhypertexte"/>
          <w:color w:val="auto"/>
        </w:rPr>
      </w:pPr>
      <w:r>
        <w:t xml:space="preserve">Le </w:t>
      </w:r>
      <w:r>
        <w:rPr>
          <w:b/>
          <w:bCs/>
        </w:rPr>
        <w:t>colloque « Égalité des chances ou égalité d</w:t>
      </w:r>
      <w:r w:rsidR="007954EE">
        <w:rPr>
          <w:b/>
          <w:bCs/>
        </w:rPr>
        <w:t>’a</w:t>
      </w:r>
      <w:r>
        <w:rPr>
          <w:b/>
          <w:bCs/>
        </w:rPr>
        <w:t>pparence ? Handicap et parcours pro, la vérité qui dérange ! »</w:t>
      </w:r>
      <w:r>
        <w:t xml:space="preserve"> aura lieu le 26</w:t>
      </w:r>
      <w:r w:rsidR="006A16A2">
        <w:t> </w:t>
      </w:r>
      <w:r>
        <w:t>novembre 3025 à Paris.</w:t>
      </w:r>
      <w:r w:rsidR="003866D6">
        <w:t xml:space="preserve"> </w:t>
      </w:r>
      <w:r w:rsidR="00121573">
        <w:br/>
      </w:r>
      <w:r>
        <w:t>Pour en savoir plus : </w:t>
      </w:r>
      <w:hyperlink r:id="rId55" w:history="1">
        <w:r w:rsidR="00EC49B4" w:rsidRPr="00EC49B4">
          <w:rPr>
            <w:rStyle w:val="Lienhypertexte"/>
          </w:rPr>
          <w:t>https://handicap.cfecgc.org</w:t>
        </w:r>
      </w:hyperlink>
    </w:p>
    <w:p w14:paraId="7DC065B4" w14:textId="05590A95" w:rsidR="002F15B7" w:rsidRDefault="00FA0D54" w:rsidP="00AA6ED7">
      <w:pPr>
        <w:spacing w:after="240"/>
      </w:pPr>
      <w:r>
        <w:t>L’</w:t>
      </w:r>
      <w:r>
        <w:rPr>
          <w:b/>
          <w:bCs/>
        </w:rPr>
        <w:t xml:space="preserve">appel à contribution </w:t>
      </w:r>
      <w:r>
        <w:t>sur</w:t>
      </w:r>
      <w:r>
        <w:rPr>
          <w:b/>
          <w:bCs/>
        </w:rPr>
        <w:t xml:space="preserve"> « </w:t>
      </w:r>
      <w:r w:rsidRPr="0023465D">
        <w:rPr>
          <w:b/>
          <w:bCs/>
        </w:rPr>
        <w:t xml:space="preserve">Sport and </w:t>
      </w:r>
      <w:proofErr w:type="spellStart"/>
      <w:r w:rsidRPr="0023465D">
        <w:rPr>
          <w:b/>
          <w:bCs/>
        </w:rPr>
        <w:t>Disability</w:t>
      </w:r>
      <w:proofErr w:type="spellEnd"/>
      <w:r w:rsidRPr="0023465D">
        <w:rPr>
          <w:b/>
          <w:bCs/>
        </w:rPr>
        <w:t xml:space="preserve"> : Bodies, Practices and Inclusion </w:t>
      </w:r>
      <w:proofErr w:type="spellStart"/>
      <w:r w:rsidRPr="0023465D">
        <w:rPr>
          <w:b/>
          <w:bCs/>
        </w:rPr>
        <w:t>Policies</w:t>
      </w:r>
      <w:proofErr w:type="spellEnd"/>
      <w:r>
        <w:rPr>
          <w:b/>
          <w:bCs/>
        </w:rPr>
        <w:t xml:space="preserve"> » </w:t>
      </w:r>
      <w:r>
        <w:t>a été lancé pour le Volume 9 (2026) d’</w:t>
      </w:r>
      <w:proofErr w:type="spellStart"/>
      <w:r>
        <w:rPr>
          <w:i/>
          <w:iCs/>
        </w:rPr>
        <w:t>Eracle</w:t>
      </w:r>
      <w:proofErr w:type="spellEnd"/>
      <w:r>
        <w:rPr>
          <w:i/>
          <w:iCs/>
        </w:rPr>
        <w:t>. Journal of Sport and Social Sciences</w:t>
      </w:r>
      <w:r>
        <w:t>. Les contributions doivent être envoyées au plus tard le 30 novembre 2025.</w:t>
      </w:r>
      <w:r w:rsidR="00A73F97">
        <w:t xml:space="preserve"> </w:t>
      </w:r>
      <w:r w:rsidR="00A73F97">
        <w:br/>
      </w:r>
      <w:r>
        <w:t xml:space="preserve">Pour en savoir plus : </w:t>
      </w:r>
      <w:hyperlink r:id="rId56" w:history="1">
        <w:r w:rsidR="00B67A35" w:rsidRPr="00B67A35">
          <w:rPr>
            <w:rStyle w:val="Lienhypertexte"/>
          </w:rPr>
          <w:t>https://calenda.org/1272230</w:t>
        </w:r>
      </w:hyperlink>
    </w:p>
    <w:p w14:paraId="07E0AABF" w14:textId="59D4A318" w:rsidR="002F15B7" w:rsidRDefault="00FA0D54" w:rsidP="002A0FE6">
      <w:pPr>
        <w:spacing w:after="240"/>
      </w:pPr>
      <w:r>
        <w:t xml:space="preserve">Le </w:t>
      </w:r>
      <w:r>
        <w:rPr>
          <w:b/>
        </w:rPr>
        <w:t xml:space="preserve">symposium </w:t>
      </w:r>
      <w:r>
        <w:rPr>
          <w:bCs/>
        </w:rPr>
        <w:t>au colloque international du CRIFPE</w:t>
      </w:r>
      <w:r>
        <w:t xml:space="preserve"> sur </w:t>
      </w:r>
      <w:r>
        <w:rPr>
          <w:b/>
        </w:rPr>
        <w:t>« Regards croisés théoriques et transatlantiques sur l’accompagnement à l’orientation dans une visée de justice sociale »</w:t>
      </w:r>
      <w:r>
        <w:t xml:space="preserve"> aura lieu du 1</w:t>
      </w:r>
      <w:r w:rsidRPr="0090440D">
        <w:rPr>
          <w:rFonts w:cs="Times New Roman (Corps CS)"/>
          <w:vertAlign w:val="superscript"/>
        </w:rPr>
        <w:t xml:space="preserve">er </w:t>
      </w:r>
      <w:r>
        <w:t>au 2</w:t>
      </w:r>
      <w:r w:rsidR="00F119D1">
        <w:t> </w:t>
      </w:r>
      <w:r>
        <w:t>décembre 2025 à Montréal.</w:t>
      </w:r>
      <w:r>
        <w:br/>
        <w:t xml:space="preserve">Pour en savoir plus : </w:t>
      </w:r>
      <w:hyperlink r:id="rId57" w:tooltip="mailto:clement.pin@insei.fr" w:history="1">
        <w:r>
          <w:rPr>
            <w:rStyle w:val="Lienhypertexte"/>
          </w:rPr>
          <w:t>clement.pin@insei.fr</w:t>
        </w:r>
      </w:hyperlink>
    </w:p>
    <w:p w14:paraId="565269FA" w14:textId="7A2DA102" w:rsidR="002F15B7" w:rsidRDefault="00FA0D54" w:rsidP="002021CE">
      <w:pPr>
        <w:spacing w:after="240"/>
      </w:pPr>
      <w:r>
        <w:t xml:space="preserve">Le </w:t>
      </w:r>
      <w:r>
        <w:rPr>
          <w:b/>
          <w:bCs/>
        </w:rPr>
        <w:t>colloque « INCL’USEP – Bien vivre – Bien faire tous ensemble »</w:t>
      </w:r>
      <w:r>
        <w:t xml:space="preserve"> se déroulera le 3 décembre 2025 à Paris.</w:t>
      </w:r>
      <w:r w:rsidR="002E0782">
        <w:t xml:space="preserve"> </w:t>
      </w:r>
      <w:r w:rsidR="002E0782">
        <w:br/>
      </w:r>
      <w:r w:rsidRPr="00A230B8">
        <w:t>Pour en savoir plus :</w:t>
      </w:r>
      <w:r>
        <w:rPr>
          <w:b/>
          <w:bCs/>
        </w:rPr>
        <w:t xml:space="preserve"> </w:t>
      </w:r>
      <w:hyperlink r:id="rId58" w:history="1">
        <w:r w:rsidR="0072339F" w:rsidRPr="0072339F">
          <w:rPr>
            <w:rStyle w:val="Lienhypertexte"/>
          </w:rPr>
          <w:t>https://ufolep-my.sharepoint.com</w:t>
        </w:r>
      </w:hyperlink>
    </w:p>
    <w:p w14:paraId="289E3F32" w14:textId="3C15EEDF" w:rsidR="002F15B7" w:rsidRDefault="00FA0D54" w:rsidP="00412351">
      <w:pPr>
        <w:spacing w:after="240"/>
      </w:pPr>
      <w:r>
        <w:t xml:space="preserve">Le </w:t>
      </w:r>
      <w:r>
        <w:rPr>
          <w:b/>
        </w:rPr>
        <w:t>colloque international « Penser les trajectoires scolaires et professionnelles des jeunes dans l’immigration »</w:t>
      </w:r>
      <w:r>
        <w:t xml:space="preserve"> se déroulera du 4 au 5 décembre 2025 au Campus Condorcet. Il aura pour objectif de clôturer le projet de recherche ANR </w:t>
      </w:r>
      <w:proofErr w:type="spellStart"/>
      <w:r>
        <w:t>Ojemigr</w:t>
      </w:r>
      <w:proofErr w:type="spellEnd"/>
      <w:r>
        <w:t xml:space="preserve"> « </w:t>
      </w:r>
      <w:r w:rsidR="00A230B8">
        <w:t>L</w:t>
      </w:r>
      <w:r>
        <w:t xml:space="preserve">’orientation scolaire des jeunes migrants », soutenu par l’Institut Convergences Migrations (projet </w:t>
      </w:r>
      <w:proofErr w:type="spellStart"/>
      <w:r>
        <w:t>Emigroscol</w:t>
      </w:r>
      <w:proofErr w:type="spellEnd"/>
      <w:r>
        <w:t>).</w:t>
      </w:r>
      <w:r w:rsidR="001607BA">
        <w:t xml:space="preserve"> </w:t>
      </w:r>
      <w:r>
        <w:br/>
        <w:t>Pour en savoir plus :</w:t>
      </w:r>
      <w:r w:rsidR="001F1C57" w:rsidRPr="001F1C57">
        <w:t xml:space="preserve"> </w:t>
      </w:r>
      <w:r w:rsidR="001F1C57" w:rsidRPr="001F1C57">
        <w:rPr>
          <w:rStyle w:val="Lienhypertexte"/>
        </w:rPr>
        <w:t>https://www.insei.fr/evenement/colloque-penser-les-trajectoires-scolaires-et-professionnelles-des-jeunes-dans</w:t>
      </w:r>
    </w:p>
    <w:p w14:paraId="2B05036F" w14:textId="4E6C037F" w:rsidR="002F15B7" w:rsidRDefault="00FA0D54" w:rsidP="00283DC0">
      <w:pPr>
        <w:spacing w:after="240"/>
      </w:pPr>
      <w:r>
        <w:lastRenderedPageBreak/>
        <w:t xml:space="preserve">Le </w:t>
      </w:r>
      <w:r>
        <w:rPr>
          <w:b/>
          <w:bCs/>
        </w:rPr>
        <w:t>congrès Autisme France</w:t>
      </w:r>
      <w:r>
        <w:t xml:space="preserve"> aura lieu le 6 décembre 2025 à Marseille.</w:t>
      </w:r>
      <w:r w:rsidR="00283DC0">
        <w:t xml:space="preserve"> </w:t>
      </w:r>
      <w:r w:rsidR="00283DC0">
        <w:br/>
      </w:r>
      <w:r>
        <w:t xml:space="preserve">Pour en savoir plus : </w:t>
      </w:r>
      <w:hyperlink r:id="rId59" w:tooltip="https://www.autisme-france.fr/discours-douverture" w:history="1">
        <w:r>
          <w:rPr>
            <w:rStyle w:val="Lienhypertexte"/>
            <w:color w:val="auto"/>
          </w:rPr>
          <w:t>https://www.autisme-france.fr</w:t>
        </w:r>
      </w:hyperlink>
    </w:p>
    <w:p w14:paraId="0F540045" w14:textId="0B74F30D" w:rsidR="002F15B7" w:rsidRPr="00745243" w:rsidRDefault="00FA0D54" w:rsidP="00745243">
      <w:pPr>
        <w:spacing w:after="240"/>
        <w:rPr>
          <w:color w:val="FF0000"/>
        </w:rPr>
      </w:pPr>
      <w:r>
        <w:t>L’</w:t>
      </w:r>
      <w:r>
        <w:rPr>
          <w:b/>
          <w:bCs/>
        </w:rPr>
        <w:t xml:space="preserve">appel à contribution </w:t>
      </w:r>
      <w:r>
        <w:t xml:space="preserve">pour un ouvrage collectif </w:t>
      </w:r>
      <w:r>
        <w:rPr>
          <w:b/>
          <w:bCs/>
        </w:rPr>
        <w:t>« La formation des enseignants sous le prisme des mutations éducatives : Regards croisés sur les parcours de professionnalisation »</w:t>
      </w:r>
      <w:r>
        <w:t xml:space="preserve"> a été lancé. Les contributions doivent être envoyées avant le 10 janvier 2026.</w:t>
      </w:r>
      <w:r w:rsidR="00745243">
        <w:t xml:space="preserve"> </w:t>
      </w:r>
      <w:r w:rsidR="00745243">
        <w:rPr>
          <w:color w:val="FF0000"/>
        </w:rPr>
        <w:br/>
      </w:r>
      <w:r>
        <w:t xml:space="preserve">Pour en savoir plus : </w:t>
      </w:r>
      <w:hyperlink r:id="rId60" w:history="1">
        <w:r w:rsidR="00C95280" w:rsidRPr="00C95280">
          <w:rPr>
            <w:rStyle w:val="Lienhypertexte"/>
          </w:rPr>
          <w:t>https://calenda.org/1284380</w:t>
        </w:r>
      </w:hyperlink>
    </w:p>
    <w:p w14:paraId="249B237F" w14:textId="77777777" w:rsidR="002F15B7" w:rsidRDefault="00FA0D54" w:rsidP="00D447AA">
      <w:pPr>
        <w:spacing w:after="240"/>
      </w:pPr>
      <w:r>
        <w:t xml:space="preserve">Le </w:t>
      </w:r>
      <w:r>
        <w:rPr>
          <w:b/>
        </w:rPr>
        <w:t>congrès Alzheimer</w:t>
      </w:r>
      <w:r>
        <w:t xml:space="preserve"> se tiendra du 10 au 11 décembre 2025 à Paris.</w:t>
      </w:r>
      <w:r>
        <w:br/>
        <w:t xml:space="preserve">Pour en savoir plus : </w:t>
      </w:r>
      <w:hyperlink r:id="rId61" w:tooltip="https://www.uspalz.com/" w:history="1">
        <w:r>
          <w:rPr>
            <w:rStyle w:val="Lienhypertexte"/>
          </w:rPr>
          <w:t>https://www.uspalz.com/</w:t>
        </w:r>
      </w:hyperlink>
    </w:p>
    <w:p w14:paraId="6E592852" w14:textId="0B170A38" w:rsidR="00942F5C" w:rsidRPr="00942F5C" w:rsidRDefault="00422A7C" w:rsidP="009D743B">
      <w:pPr>
        <w:spacing w:after="240"/>
      </w:pPr>
      <w:r w:rsidRPr="00EC6C87">
        <w:t>L’</w:t>
      </w:r>
      <w:r w:rsidRPr="00EC6C87">
        <w:rPr>
          <w:b/>
          <w:bCs/>
        </w:rPr>
        <w:t xml:space="preserve">appel à proposition </w:t>
      </w:r>
      <w:r w:rsidRPr="00EC6C87">
        <w:t xml:space="preserve">pour le </w:t>
      </w:r>
      <w:r w:rsidRPr="0023465D">
        <w:rPr>
          <w:b/>
          <w:bCs/>
        </w:rPr>
        <w:t xml:space="preserve">17th London International </w:t>
      </w:r>
      <w:proofErr w:type="spellStart"/>
      <w:r w:rsidRPr="0023465D">
        <w:rPr>
          <w:b/>
          <w:bCs/>
        </w:rPr>
        <w:t>Conference</w:t>
      </w:r>
      <w:proofErr w:type="spellEnd"/>
      <w:r w:rsidRPr="0023465D">
        <w:rPr>
          <w:b/>
          <w:bCs/>
        </w:rPr>
        <w:t xml:space="preserve"> on Education </w:t>
      </w:r>
      <w:r w:rsidRPr="00EC6C87">
        <w:rPr>
          <w:b/>
          <w:bCs/>
        </w:rPr>
        <w:t>(LICE-2025)</w:t>
      </w:r>
      <w:r w:rsidRPr="00EC6C87">
        <w:t> a été lanc</w:t>
      </w:r>
      <w:r w:rsidR="00A230B8">
        <w:t>é.</w:t>
      </w:r>
      <w:r w:rsidRPr="00EC6C87">
        <w:t xml:space="preserve"> </w:t>
      </w:r>
      <w:r w:rsidRPr="00422A7C">
        <w:t xml:space="preserve">La </w:t>
      </w:r>
      <w:r>
        <w:t>conférence aura lieu du 3 au 5 novembre 2025 au Royaume-Uni.</w:t>
      </w:r>
      <w:r w:rsidR="009D743B">
        <w:t xml:space="preserve"> </w:t>
      </w:r>
      <w:r w:rsidR="009D743B">
        <w:br/>
      </w:r>
      <w:r>
        <w:t xml:space="preserve">Pour en savoir plus : </w:t>
      </w:r>
      <w:hyperlink r:id="rId62" w:history="1">
        <w:r w:rsidR="004917A5" w:rsidRPr="004917A5">
          <w:rPr>
            <w:rStyle w:val="Lienhypertexte"/>
          </w:rPr>
          <w:t>https://liceducation.com</w:t>
        </w:r>
      </w:hyperlink>
    </w:p>
    <w:p w14:paraId="1D5CE733" w14:textId="77777777" w:rsidR="00A230B8" w:rsidRDefault="00FA0D54">
      <w:pPr>
        <w:spacing w:after="0"/>
      </w:pPr>
      <w:r>
        <w:t>L’</w:t>
      </w:r>
      <w:r>
        <w:rPr>
          <w:b/>
          <w:bCs/>
        </w:rPr>
        <w:t xml:space="preserve">appel à proposition </w:t>
      </w:r>
      <w:r>
        <w:t xml:space="preserve">pour la </w:t>
      </w:r>
      <w:r>
        <w:rPr>
          <w:b/>
          <w:bCs/>
        </w:rPr>
        <w:t>revue internationale</w:t>
      </w:r>
      <w:r>
        <w:t xml:space="preserve"> </w:t>
      </w:r>
      <w:r>
        <w:rPr>
          <w:b/>
          <w:bCs/>
        </w:rPr>
        <w:t>« Scientific Reports »</w:t>
      </w:r>
      <w:r>
        <w:t> a été lancé. Il concerne sa collection </w:t>
      </w:r>
      <w:r w:rsidRPr="0023465D">
        <w:rPr>
          <w:b/>
          <w:bCs/>
          <w:i/>
          <w:iCs/>
        </w:rPr>
        <w:t xml:space="preserve">Visual </w:t>
      </w:r>
      <w:proofErr w:type="spellStart"/>
      <w:r w:rsidRPr="0023465D">
        <w:rPr>
          <w:b/>
          <w:bCs/>
          <w:i/>
          <w:iCs/>
        </w:rPr>
        <w:t>impairment</w:t>
      </w:r>
      <w:proofErr w:type="spellEnd"/>
      <w:r w:rsidRPr="0023465D">
        <w:rPr>
          <w:b/>
          <w:bCs/>
          <w:i/>
          <w:iCs/>
        </w:rPr>
        <w:t xml:space="preserve"> and </w:t>
      </w:r>
      <w:proofErr w:type="spellStart"/>
      <w:r w:rsidRPr="0023465D">
        <w:rPr>
          <w:b/>
          <w:bCs/>
          <w:i/>
          <w:iCs/>
        </w:rPr>
        <w:t>child</w:t>
      </w:r>
      <w:proofErr w:type="spellEnd"/>
      <w:r w:rsidRPr="0023465D">
        <w:rPr>
          <w:b/>
          <w:bCs/>
          <w:i/>
          <w:iCs/>
        </w:rPr>
        <w:t xml:space="preserve"> </w:t>
      </w:r>
      <w:proofErr w:type="spellStart"/>
      <w:r w:rsidRPr="0023465D">
        <w:rPr>
          <w:b/>
          <w:bCs/>
          <w:i/>
          <w:iCs/>
        </w:rPr>
        <w:t>development</w:t>
      </w:r>
      <w:proofErr w:type="spellEnd"/>
      <w:r>
        <w:t>. La date limite de la soumission des propositions est le 18 juin 2026.</w:t>
      </w:r>
      <w:r w:rsidR="007C156C">
        <w:t xml:space="preserve"> </w:t>
      </w:r>
    </w:p>
    <w:p w14:paraId="2C465BFD" w14:textId="66AD6293" w:rsidR="002F15B7" w:rsidRDefault="00FA0D54">
      <w:pPr>
        <w:spacing w:after="0"/>
      </w:pPr>
      <w:r>
        <w:t>Pour en savoir plus :</w:t>
      </w:r>
      <w:r w:rsidR="00EF607C">
        <w:t xml:space="preserve"> </w:t>
      </w:r>
      <w:hyperlink r:id="rId63" w:history="1">
        <w:r w:rsidR="00EF607C" w:rsidRPr="00A433E6">
          <w:rPr>
            <w:rStyle w:val="Lienhypertexte"/>
          </w:rPr>
          <w:t>https://www-nature-com.bibelec.univ-lyon2.fr/collections/jahbccdbba/guest-editors</w:t>
        </w:r>
      </w:hyperlink>
      <w:bookmarkStart w:id="23" w:name="_Toc189733283"/>
      <w:bookmarkStart w:id="24" w:name="_Toc189733346"/>
      <w:bookmarkEnd w:id="19"/>
      <w:bookmarkEnd w:id="20"/>
    </w:p>
    <w:p w14:paraId="2243BCCC" w14:textId="77777777" w:rsidR="002F15B7" w:rsidRDefault="00FA0D54">
      <w:pPr>
        <w:pStyle w:val="Titre1"/>
      </w:pPr>
      <w:r>
        <w:br w:type="page" w:clear="all"/>
      </w:r>
    </w:p>
    <w:p w14:paraId="1BAEA751" w14:textId="77777777" w:rsidR="002F15B7" w:rsidRDefault="00FA0D54" w:rsidP="00945291">
      <w:pPr>
        <w:pStyle w:val="Titre1"/>
      </w:pPr>
      <w:bookmarkStart w:id="25" w:name="_Toc211587441"/>
      <w:r>
        <w:lastRenderedPageBreak/>
        <w:t>Rubrique numéro 8 : Publications</w:t>
      </w:r>
      <w:bookmarkEnd w:id="23"/>
      <w:bookmarkEnd w:id="24"/>
      <w:bookmarkEnd w:id="25"/>
    </w:p>
    <w:p w14:paraId="165593AA" w14:textId="56D89F5D" w:rsidR="002F15B7" w:rsidRDefault="00FA0D54">
      <w:pPr>
        <w:pStyle w:val="ReferencesbiblioNewsletter"/>
        <w:rPr>
          <w:lang w:val="en-US"/>
        </w:rPr>
      </w:pPr>
      <w:r>
        <w:t>Dupré, F., Zorn, S. (2025). « Scolarisation d’élèves reconnus handicapés : l’usage de la vidéo pour expliquer et comprendre la complexité des situations d’enseignement apprentissage »</w:t>
      </w:r>
      <w:r>
        <w:rPr>
          <w:i/>
          <w:iCs/>
        </w:rPr>
        <w:t>.</w:t>
      </w:r>
      <w:r>
        <w:t xml:space="preserve"> In M. </w:t>
      </w:r>
      <w:proofErr w:type="spellStart"/>
      <w:r>
        <w:t>Bourgatte</w:t>
      </w:r>
      <w:proofErr w:type="spellEnd"/>
      <w:r>
        <w:t>, P.</w:t>
      </w:r>
      <w:r w:rsidR="00A404CE">
        <w:t> </w:t>
      </w:r>
      <w:r>
        <w:t xml:space="preserve">Boutin, C. Chantraine </w:t>
      </w:r>
      <w:proofErr w:type="spellStart"/>
      <w:r>
        <w:t>Braillon</w:t>
      </w:r>
      <w:proofErr w:type="spellEnd"/>
      <w:r>
        <w:t xml:space="preserve"> et L. Tessier (</w:t>
      </w:r>
      <w:r w:rsidR="00A230B8">
        <w:t>éd)</w:t>
      </w:r>
      <w:r>
        <w:t>, </w:t>
      </w:r>
      <w:r>
        <w:rPr>
          <w:i/>
          <w:iCs/>
        </w:rPr>
        <w:t>Des corpus audiovisuels en sciences humaines et sociales</w:t>
      </w:r>
      <w:r>
        <w:t xml:space="preserve">. </w:t>
      </w:r>
      <w:proofErr w:type="spellStart"/>
      <w:r>
        <w:rPr>
          <w:lang w:val="en-US"/>
        </w:rPr>
        <w:t>MkF</w:t>
      </w:r>
      <w:proofErr w:type="spellEnd"/>
      <w:r>
        <w:rPr>
          <w:lang w:val="en-US"/>
        </w:rPr>
        <w:t xml:space="preserve"> Éditions.</w:t>
      </w:r>
    </w:p>
    <w:p w14:paraId="6C0E8DF0" w14:textId="462D3E61" w:rsidR="002F15B7" w:rsidRDefault="00FA0D54">
      <w:pPr>
        <w:pStyle w:val="ReferencesbiblioNewsletter"/>
        <w:rPr>
          <w:i/>
          <w:iCs/>
          <w:lang w:val="en-US"/>
        </w:rPr>
      </w:pPr>
      <w:r>
        <w:rPr>
          <w:lang w:val="en-US"/>
        </w:rPr>
        <w:t>Garnier, P., Zorn, S. (2025).</w:t>
      </w:r>
      <w:r>
        <w:rPr>
          <w:i/>
          <w:iCs/>
          <w:lang w:val="en-US"/>
        </w:rPr>
        <w:t xml:space="preserve"> </w:t>
      </w:r>
      <w:r>
        <w:rPr>
          <w:lang w:val="en-US"/>
        </w:rPr>
        <w:t>« The key roles of professionals in autism early childhood units in preschools in France ».</w:t>
      </w:r>
      <w:r>
        <w:rPr>
          <w:i/>
          <w:iCs/>
          <w:lang w:val="en-US"/>
        </w:rPr>
        <w:t> European Journal of Special Needs Education</w:t>
      </w:r>
      <w:r w:rsidRPr="000B10E8">
        <w:rPr>
          <w:lang w:val="en-US"/>
        </w:rPr>
        <w:t>, 1–13.</w:t>
      </w:r>
    </w:p>
    <w:p w14:paraId="05681E56" w14:textId="2EB3B47D" w:rsidR="002F15B7" w:rsidRDefault="00FA0D54">
      <w:pPr>
        <w:pStyle w:val="ReferencesbiblioNewsletter"/>
      </w:pPr>
      <w:r>
        <w:rPr>
          <w:lang w:val="en-US"/>
        </w:rPr>
        <w:t xml:space="preserve">Zorn, S., Atlan, E., Corbeil, T. (2025). </w:t>
      </w:r>
      <w:r>
        <w:t>« Développement de compétences professionnelles dans le champ du polyhandicap : effets perçus d’un module de formation à l’analyse collective et croisée des interactions ». </w:t>
      </w:r>
      <w:r w:rsidR="00376593">
        <w:rPr>
          <w:i/>
          <w:iCs/>
        </w:rPr>
        <w:t>É</w:t>
      </w:r>
      <w:r w:rsidRPr="00E815AA">
        <w:rPr>
          <w:i/>
          <w:iCs/>
        </w:rPr>
        <w:t xml:space="preserve">ducation et </w:t>
      </w:r>
      <w:r w:rsidR="00376593">
        <w:rPr>
          <w:i/>
          <w:iCs/>
        </w:rPr>
        <w:t>s</w:t>
      </w:r>
      <w:r w:rsidRPr="00E815AA">
        <w:rPr>
          <w:i/>
          <w:iCs/>
        </w:rPr>
        <w:t>ocialisation</w:t>
      </w:r>
      <w:r>
        <w:t xml:space="preserve">, </w:t>
      </w:r>
      <w:r w:rsidRPr="00E815AA">
        <w:rPr>
          <w:i/>
          <w:iCs/>
        </w:rPr>
        <w:t>7</w:t>
      </w:r>
      <w:r>
        <w:t>.</w:t>
      </w:r>
    </w:p>
    <w:p w14:paraId="06607D52" w14:textId="77777777" w:rsidR="002F15B7" w:rsidRDefault="00FA0D54">
      <w:pPr>
        <w:pStyle w:val="Titre1"/>
      </w:pPr>
      <w:bookmarkStart w:id="26" w:name="_Toc189733284"/>
      <w:bookmarkStart w:id="27" w:name="_Toc189733347"/>
      <w:r>
        <w:br w:type="page" w:clear="all"/>
      </w:r>
    </w:p>
    <w:p w14:paraId="3EB46F7B" w14:textId="77777777" w:rsidR="002F15B7" w:rsidRDefault="00FA0D54" w:rsidP="0016324A">
      <w:pPr>
        <w:pStyle w:val="Titre1"/>
      </w:pPr>
      <w:bookmarkStart w:id="28" w:name="_Toc211587442"/>
      <w:r>
        <w:lastRenderedPageBreak/>
        <w:t>Rubrique numéro 9 : Communications</w:t>
      </w:r>
      <w:bookmarkEnd w:id="26"/>
      <w:bookmarkEnd w:id="27"/>
      <w:bookmarkEnd w:id="28"/>
    </w:p>
    <w:p w14:paraId="2B25A078" w14:textId="77777777" w:rsidR="002F15B7" w:rsidRDefault="00FA0D54">
      <w:pPr>
        <w:pStyle w:val="ReferencesbiblioNewsletter"/>
      </w:pPr>
      <w:r>
        <w:t xml:space="preserve">Amiot, L., Clément, C., Mercier, C., Zorn, S., « Être scolarisé en école élémentaire avec l’appui d’un DAR : points de vue d’élèves avec un TSA », colloque du </w:t>
      </w:r>
      <w:proofErr w:type="spellStart"/>
      <w:r>
        <w:t>Lisis</w:t>
      </w:r>
      <w:proofErr w:type="spellEnd"/>
      <w:r>
        <w:t>, Caen, 20-21 octobre 2025.</w:t>
      </w:r>
    </w:p>
    <w:p w14:paraId="5D89ECD1" w14:textId="77777777" w:rsidR="002F15B7" w:rsidRDefault="00FA0D54">
      <w:pPr>
        <w:pStyle w:val="ReferencesbiblioNewsletter"/>
      </w:pPr>
      <w:r>
        <w:t>Dupré, F., Participation aux « Autonomie : Brèves de sciences », PPR autonomie, 30 septembre 2025.</w:t>
      </w:r>
    </w:p>
    <w:p w14:paraId="0F4EE3DF" w14:textId="77777777" w:rsidR="002F15B7" w:rsidRDefault="00FA0D54">
      <w:pPr>
        <w:pStyle w:val="ReferencesbiblioNewsletter"/>
      </w:pPr>
      <w:r>
        <w:t>Dupré, F., Lecompte-</w:t>
      </w:r>
      <w:proofErr w:type="spellStart"/>
      <w:r>
        <w:t>Villardo</w:t>
      </w:r>
      <w:proofErr w:type="spellEnd"/>
      <w:r>
        <w:t xml:space="preserve">, L., « Le travail conjoint entre une enseignante et une éducatrice spécialisée – une étude de cas dans un dispositif d’autorégulation (DAR) », colloque du </w:t>
      </w:r>
      <w:proofErr w:type="spellStart"/>
      <w:r>
        <w:t>Lisis</w:t>
      </w:r>
      <w:proofErr w:type="spellEnd"/>
      <w:r>
        <w:t>, Caen, 20-21 octobre 2025.</w:t>
      </w:r>
    </w:p>
    <w:p w14:paraId="6088A299" w14:textId="77777777" w:rsidR="002F15B7" w:rsidRDefault="00FA0D54">
      <w:pPr>
        <w:pStyle w:val="ReferencesbiblioNewsletter"/>
      </w:pPr>
      <w:r>
        <w:t>Gomes, D., « </w:t>
      </w:r>
      <w:proofErr w:type="spellStart"/>
      <w:r>
        <w:t>Coenseignement</w:t>
      </w:r>
      <w:proofErr w:type="spellEnd"/>
      <w:r>
        <w:t xml:space="preserve"> entre professeurs des écoles et enseignants des réseaux d’aides spécialisées aux élèves en difficulté (</w:t>
      </w:r>
      <w:proofErr w:type="spellStart"/>
      <w:r>
        <w:t>Rased</w:t>
      </w:r>
      <w:proofErr w:type="spellEnd"/>
      <w:r>
        <w:t xml:space="preserve">) : leviers et freins à l’accessibilité didactique », colloque du </w:t>
      </w:r>
      <w:proofErr w:type="spellStart"/>
      <w:r>
        <w:t>Lisis</w:t>
      </w:r>
      <w:proofErr w:type="spellEnd"/>
      <w:r>
        <w:t>, Caen, 20-21 octobre 2025.</w:t>
      </w:r>
    </w:p>
    <w:p w14:paraId="74D2B772" w14:textId="77777777" w:rsidR="002F15B7" w:rsidRDefault="00FA0D54">
      <w:pPr>
        <w:pStyle w:val="ReferencesbiblioNewsletter"/>
        <w:rPr>
          <w:lang w:val="en-US"/>
        </w:rPr>
      </w:pPr>
      <w:r>
        <w:rPr>
          <w:lang w:val="en-US"/>
        </w:rPr>
        <w:t xml:space="preserve">Gomes, D., Dupré, F., Puustinen, M., « Analyzing a co-teaching session in a French primary school: Focus on didactic accessibility », </w:t>
      </w:r>
      <w:r>
        <w:rPr>
          <w:i/>
          <w:iCs/>
          <w:lang w:val="en-US"/>
        </w:rPr>
        <w:t xml:space="preserve">It take two to </w:t>
      </w:r>
      <w:proofErr w:type="gramStart"/>
      <w:r>
        <w:rPr>
          <w:i/>
          <w:iCs/>
          <w:lang w:val="en-US"/>
        </w:rPr>
        <w:t>teach!</w:t>
      </w:r>
      <w:r>
        <w:rPr>
          <w:lang w:val="en-US"/>
        </w:rPr>
        <w:t>,</w:t>
      </w:r>
      <w:proofErr w:type="gramEnd"/>
      <w:r>
        <w:rPr>
          <w:lang w:val="en-US"/>
        </w:rPr>
        <w:t xml:space="preserve"> Anvers, 19-21 novembre 2025.</w:t>
      </w:r>
    </w:p>
    <w:p w14:paraId="52D497E2" w14:textId="737B564B" w:rsidR="002F15B7" w:rsidRDefault="00FA0D54" w:rsidP="00EF607C">
      <w:pPr>
        <w:pStyle w:val="ReferencesbiblioNewsletter"/>
      </w:pPr>
      <w:r>
        <w:t>Le Bail, J.-M., Pin, C., « Avec l'autorégulation, l</w:t>
      </w:r>
      <w:r w:rsidR="00EF607C">
        <w:t>’</w:t>
      </w:r>
      <w:r>
        <w:t>école à l</w:t>
      </w:r>
      <w:r w:rsidR="00EF607C">
        <w:t>’</w:t>
      </w:r>
      <w:r>
        <w:t>âge du post-dispositif</w:t>
      </w:r>
      <w:r w:rsidR="00EF607C">
        <w:t xml:space="preserve"> </w:t>
      </w:r>
      <w:r>
        <w:t xml:space="preserve">? », colloque du </w:t>
      </w:r>
      <w:proofErr w:type="spellStart"/>
      <w:r>
        <w:t>Lisis</w:t>
      </w:r>
      <w:proofErr w:type="spellEnd"/>
      <w:r>
        <w:t>, Caen, 20-21 octobre 2025.</w:t>
      </w:r>
    </w:p>
    <w:p w14:paraId="40D3A287" w14:textId="0C957B10" w:rsidR="002F15B7" w:rsidRDefault="00FA0D54">
      <w:pPr>
        <w:pStyle w:val="ReferencesbiblioNewsletter"/>
      </w:pPr>
      <w:proofErr w:type="spellStart"/>
      <w:r>
        <w:t>Pelhate</w:t>
      </w:r>
      <w:proofErr w:type="spellEnd"/>
      <w:r>
        <w:t>, J., Perraud, C., « Un dispositif d’autorégulation dans l’école : déstabilisation des pratiques professionnelles et reconfigura</w:t>
      </w:r>
      <w:r w:rsidR="00A230B8">
        <w:t>tion des rôles des professeurs</w:t>
      </w:r>
      <w:r>
        <w:t xml:space="preserve"> », colloque du </w:t>
      </w:r>
      <w:proofErr w:type="spellStart"/>
      <w:r>
        <w:t>Lisis</w:t>
      </w:r>
      <w:proofErr w:type="spellEnd"/>
      <w:r>
        <w:t>, Caen, 20-21 octobre 2025.</w:t>
      </w:r>
    </w:p>
    <w:p w14:paraId="120EDE53" w14:textId="321D5ED6" w:rsidR="002F15B7" w:rsidRDefault="00FA0D54" w:rsidP="00A230B8">
      <w:pPr>
        <w:pStyle w:val="ReferencesbiblioNewsletter"/>
      </w:pPr>
      <w:proofErr w:type="spellStart"/>
      <w:r>
        <w:t>Piquard-Kipffer</w:t>
      </w:r>
      <w:proofErr w:type="spellEnd"/>
      <w:r>
        <w:t>, A., « Projet AVI-Corse : Quels bénéfices de la synchronisation labiale automatique pour quels publics en orthophonie ? », 4</w:t>
      </w:r>
      <w:r w:rsidRPr="0055705F">
        <w:rPr>
          <w:rFonts w:cs="Times New Roman (Corps CS)"/>
          <w:vertAlign w:val="superscript"/>
        </w:rPr>
        <w:t>e</w:t>
      </w:r>
      <w:r>
        <w:t xml:space="preserve"> journée pluriprofessionnelle de l’audition, 131</w:t>
      </w:r>
      <w:r w:rsidR="00EF607C" w:rsidRPr="00EF607C">
        <w:rPr>
          <w:vertAlign w:val="superscript"/>
        </w:rPr>
        <w:t>ème</w:t>
      </w:r>
      <w:r w:rsidR="00EF607C">
        <w:t xml:space="preserve"> </w:t>
      </w:r>
      <w:r>
        <w:t>colloque de la SFORL, Lille, 1</w:t>
      </w:r>
      <w:r w:rsidR="00A230B8" w:rsidRPr="00A230B8">
        <w:rPr>
          <w:vertAlign w:val="superscript"/>
        </w:rPr>
        <w:t>er</w:t>
      </w:r>
      <w:r>
        <w:t xml:space="preserve"> octobre 2025. </w:t>
      </w:r>
    </w:p>
    <w:p w14:paraId="5F73E25A" w14:textId="77777777" w:rsidR="002F15B7" w:rsidRDefault="00FA0D54">
      <w:pPr>
        <w:pStyle w:val="ReferencesbiblioNewsletter"/>
      </w:pPr>
      <w:r>
        <w:t xml:space="preserve">Quitté, S., « Le travail à long terme des AESH auprès des élèves avec un TSA », colloque du </w:t>
      </w:r>
      <w:proofErr w:type="spellStart"/>
      <w:r>
        <w:t>Lisis</w:t>
      </w:r>
      <w:proofErr w:type="spellEnd"/>
      <w:r>
        <w:t>, Caen, 20-21 octobre 2025.</w:t>
      </w:r>
    </w:p>
    <w:p w14:paraId="7BBF8C7B" w14:textId="77777777" w:rsidR="002F15B7" w:rsidRDefault="00FA0D54">
      <w:pPr>
        <w:pStyle w:val="ReferencesbiblioNewsletter"/>
      </w:pPr>
      <w:proofErr w:type="spellStart"/>
      <w:r>
        <w:lastRenderedPageBreak/>
        <w:t>Toubhans</w:t>
      </w:r>
      <w:proofErr w:type="spellEnd"/>
      <w:r>
        <w:t xml:space="preserve">, M.-P., « Le passage à l’âge adulte de treize jeunes en situation de handicap : expérience », colloque du </w:t>
      </w:r>
      <w:proofErr w:type="spellStart"/>
      <w:r>
        <w:t>Lisis</w:t>
      </w:r>
      <w:proofErr w:type="spellEnd"/>
      <w:r>
        <w:t>, Caen, 20-21 octobre 2025.</w:t>
      </w:r>
    </w:p>
    <w:p w14:paraId="4BF431DA" w14:textId="021176FD" w:rsidR="002F15B7" w:rsidRDefault="00FA0D54" w:rsidP="00942F5C">
      <w:pPr>
        <w:pStyle w:val="ReferencesbiblioNewsletter"/>
      </w:pPr>
      <w:r>
        <w:t>Zorn, S., intervention sur l’école inclusive, colloque du Collectif Handicap 35, Rennes, 7 octobre 2025.</w:t>
      </w:r>
    </w:p>
    <w:p w14:paraId="4F4A76E2" w14:textId="0723FA85" w:rsidR="002F15B7" w:rsidRDefault="00FA0D54" w:rsidP="00A53EEE">
      <w:pPr>
        <w:pStyle w:val="ReferencesbiblioNewsletter"/>
      </w:pPr>
      <w:r>
        <w:rPr>
          <w:noProof/>
        </w:rPr>
        <w:drawing>
          <wp:inline distT="0" distB="0" distL="0" distR="0" wp14:anchorId="557C0334" wp14:editId="2421FC7F">
            <wp:extent cx="1816299" cy="3228975"/>
            <wp:effectExtent l="0" t="0" r="0" b="0"/>
            <wp:docPr id="3" name="Image 2" descr="Image d'Agnès Piquard lors de sa communication au colloque SFOR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Image d'Agnès Piquard lors de sa communication au colloque SFORL. "/>
                    <pic:cNvPicPr>
                      <a:picLocks noChangeAspect="1"/>
                    </pic:cNvPicPr>
                  </pic:nvPicPr>
                  <pic:blipFill>
                    <a:blip r:embed="rId64"/>
                    <a:stretch/>
                  </pic:blipFill>
                  <pic:spPr bwMode="auto">
                    <a:xfrm>
                      <a:off x="0" y="0"/>
                      <a:ext cx="1825207" cy="3244810"/>
                    </a:xfrm>
                    <a:prstGeom prst="rect">
                      <a:avLst/>
                    </a:prstGeom>
                    <a:noFill/>
                    <a:ln>
                      <a:noFill/>
                    </a:ln>
                  </pic:spPr>
                </pic:pic>
              </a:graphicData>
            </a:graphic>
          </wp:inline>
        </w:drawing>
      </w:r>
    </w:p>
    <w:p w14:paraId="76BF9E1B" w14:textId="77777777" w:rsidR="002F15B7" w:rsidRDefault="00FA0D54">
      <w:pPr>
        <w:pStyle w:val="ReferencesbiblioNewsletter"/>
        <w:ind w:left="0" w:firstLine="0"/>
      </w:pPr>
      <w:r>
        <w:br w:type="page" w:clear="all"/>
      </w:r>
    </w:p>
    <w:p w14:paraId="30216221" w14:textId="4857769B" w:rsidR="002F15B7" w:rsidRPr="0016324A" w:rsidRDefault="00FA0D54" w:rsidP="0016324A">
      <w:pPr>
        <w:pStyle w:val="Titre1"/>
      </w:pPr>
      <w:bookmarkStart w:id="29" w:name="_Toc189733285"/>
      <w:bookmarkStart w:id="30" w:name="_Toc189733348"/>
      <w:bookmarkStart w:id="31" w:name="_Toc211587443"/>
      <w:r w:rsidRPr="0016324A">
        <w:lastRenderedPageBreak/>
        <w:t xml:space="preserve">Rubrique numéro 10 : </w:t>
      </w:r>
      <w:r w:rsidRPr="0016324A">
        <w:br/>
        <w:t xml:space="preserve">Erasmus+ et </w:t>
      </w:r>
      <w:bookmarkEnd w:id="29"/>
      <w:bookmarkEnd w:id="30"/>
      <w:r w:rsidRPr="0016324A">
        <w:t>partenariats</w:t>
      </w:r>
      <w:bookmarkEnd w:id="31"/>
    </w:p>
    <w:p w14:paraId="0BBE4A42" w14:textId="14759796" w:rsidR="002F15B7" w:rsidRDefault="00FA0D54" w:rsidP="00767068">
      <w:pPr>
        <w:pStyle w:val="Titre2"/>
      </w:pPr>
      <w:r>
        <w:t>Visite du NISE (Corée du Sud)</w:t>
      </w:r>
    </w:p>
    <w:p w14:paraId="1E337748" w14:textId="2B357A41" w:rsidR="002F15B7" w:rsidRDefault="00FA0D54">
      <w:r>
        <w:t xml:space="preserve">L’INSEI accueillera une délégation du </w:t>
      </w:r>
      <w:r w:rsidRPr="0023465D">
        <w:rPr>
          <w:i/>
          <w:iCs/>
        </w:rPr>
        <w:t xml:space="preserve">National Institute of </w:t>
      </w:r>
      <w:proofErr w:type="spellStart"/>
      <w:r w:rsidRPr="0023465D">
        <w:rPr>
          <w:i/>
          <w:iCs/>
        </w:rPr>
        <w:t>Special</w:t>
      </w:r>
      <w:proofErr w:type="spellEnd"/>
      <w:r w:rsidRPr="0023465D">
        <w:rPr>
          <w:i/>
          <w:iCs/>
        </w:rPr>
        <w:t xml:space="preserve"> Education</w:t>
      </w:r>
      <w:r>
        <w:t xml:space="preserve"> (NISE) de Corée du Sud</w:t>
      </w:r>
      <w:r w:rsidR="006254C8">
        <w:t xml:space="preserve"> le 18 novembre 2025</w:t>
      </w:r>
      <w:r>
        <w:t xml:space="preserve">. La rencontre se tiendra en français, avec l’appui d’un interprète coréen, et portera sur le thème </w:t>
      </w:r>
      <w:r w:rsidR="006254C8">
        <w:rPr>
          <w:b/>
          <w:bCs/>
        </w:rPr>
        <w:t>« </w:t>
      </w:r>
      <w:r>
        <w:rPr>
          <w:b/>
          <w:bCs/>
        </w:rPr>
        <w:t>L’éducation spécialisée et l’</w:t>
      </w:r>
      <w:proofErr w:type="spellStart"/>
      <w:r>
        <w:rPr>
          <w:b/>
          <w:bCs/>
        </w:rPr>
        <w:t>EdTech</w:t>
      </w:r>
      <w:proofErr w:type="spellEnd"/>
      <w:r>
        <w:rPr>
          <w:b/>
          <w:bCs/>
        </w:rPr>
        <w:t xml:space="preserve"> en France »</w:t>
      </w:r>
      <w:r>
        <w:t>. Cette visite sera l’occasion d’échanger sur les pratiques et politiques françaises en matière d’éducation inclusive et d’innovation technologique.</w:t>
      </w:r>
    </w:p>
    <w:p w14:paraId="3773CC90" w14:textId="336230F9" w:rsidR="002F15B7" w:rsidRDefault="00FA0D54" w:rsidP="00767068">
      <w:pPr>
        <w:pStyle w:val="Titre2"/>
      </w:pPr>
      <w:r>
        <w:t>Visite du NISE (Japon)</w:t>
      </w:r>
    </w:p>
    <w:p w14:paraId="707B8E1F" w14:textId="6D2C8254" w:rsidR="002F15B7" w:rsidRDefault="00FA0D54">
      <w:r>
        <w:t xml:space="preserve">Deux chercheurs du </w:t>
      </w:r>
      <w:r w:rsidRPr="0023465D">
        <w:rPr>
          <w:i/>
          <w:iCs/>
        </w:rPr>
        <w:t xml:space="preserve">National Institute of </w:t>
      </w:r>
      <w:proofErr w:type="spellStart"/>
      <w:r w:rsidRPr="0023465D">
        <w:rPr>
          <w:i/>
          <w:iCs/>
        </w:rPr>
        <w:t>Special</w:t>
      </w:r>
      <w:proofErr w:type="spellEnd"/>
      <w:r w:rsidRPr="0023465D">
        <w:rPr>
          <w:i/>
          <w:iCs/>
        </w:rPr>
        <w:t xml:space="preserve"> Education</w:t>
      </w:r>
      <w:r>
        <w:t xml:space="preserve"> (NISE) du Japon seront reçus à l’INSEI</w:t>
      </w:r>
      <w:r w:rsidR="006254C8">
        <w:t xml:space="preserve"> le 2 décembre 2025</w:t>
      </w:r>
      <w:r>
        <w:t xml:space="preserve">. Leur venue s’inscrit dans la perspective d’un projet comparatif : ils souhaitent </w:t>
      </w:r>
      <w:r>
        <w:rPr>
          <w:b/>
          <w:bCs/>
        </w:rPr>
        <w:t>mener une enquête croisée sur les progrès de l’éducation inclusive en France et au Japon</w:t>
      </w:r>
      <w:r>
        <w:t>, et partager les résultats de cette étude collaborative.</w:t>
      </w:r>
    </w:p>
    <w:p w14:paraId="4F0824FC" w14:textId="5E6DF751" w:rsidR="00307C54" w:rsidRPr="006254C8" w:rsidRDefault="00307C54" w:rsidP="006E1021">
      <w:pPr>
        <w:pStyle w:val="Titre2"/>
      </w:pPr>
      <w:r w:rsidRPr="006254C8">
        <w:t>Projet Erasmus+ IDI4Sport</w:t>
      </w:r>
    </w:p>
    <w:p w14:paraId="77B8C9FB" w14:textId="4742452A" w:rsidR="001F1C57" w:rsidRDefault="001F1C57" w:rsidP="006254C8">
      <w:pPr>
        <w:pStyle w:val="NormalWeb"/>
        <w:shd w:val="clear" w:color="auto" w:fill="FFFFFF"/>
        <w:spacing w:before="0" w:beforeAutospacing="0" w:after="0" w:afterAutospacing="0" w:line="408" w:lineRule="atLeast"/>
        <w:rPr>
          <w:rFonts w:ascii="Verdana" w:eastAsiaTheme="minorHAnsi" w:hAnsi="Verdana" w:cstheme="minorBidi"/>
          <w:lang w:eastAsia="en-US"/>
        </w:rPr>
      </w:pPr>
      <w:r w:rsidRPr="00801F3C">
        <w:rPr>
          <w:rFonts w:ascii="Verdana" w:eastAsiaTheme="minorHAnsi" w:hAnsi="Verdana" w:cstheme="minorBidi"/>
          <w:lang w:eastAsia="en-US"/>
        </w:rPr>
        <w:t xml:space="preserve">Le </w:t>
      </w:r>
      <w:r w:rsidRPr="006254C8">
        <w:rPr>
          <w:rFonts w:ascii="Verdana" w:eastAsiaTheme="minorHAnsi" w:hAnsi="Verdana" w:cstheme="minorBidi"/>
          <w:lang w:eastAsia="en-US"/>
        </w:rPr>
        <w:t>2 octobre 2025 s’est tenue la conférence finale du projet Erasmus+ IDI4Sport (</w:t>
      </w:r>
      <w:r w:rsidRPr="00B93FD4">
        <w:rPr>
          <w:rFonts w:ascii="Verdana" w:eastAsiaTheme="minorHAnsi" w:hAnsi="Verdana" w:cstheme="minorBidi"/>
          <w:lang w:eastAsia="en-US"/>
        </w:rPr>
        <w:t xml:space="preserve">Inclusion and </w:t>
      </w:r>
      <w:proofErr w:type="spellStart"/>
      <w:r w:rsidRPr="00B93FD4">
        <w:rPr>
          <w:rFonts w:ascii="Verdana" w:eastAsiaTheme="minorHAnsi" w:hAnsi="Verdana" w:cstheme="minorBidi"/>
          <w:lang w:eastAsia="en-US"/>
        </w:rPr>
        <w:t>Disabilities</w:t>
      </w:r>
      <w:proofErr w:type="spellEnd"/>
      <w:r w:rsidRPr="00B93FD4">
        <w:rPr>
          <w:rFonts w:ascii="Verdana" w:eastAsiaTheme="minorHAnsi" w:hAnsi="Verdana" w:cstheme="minorBidi"/>
          <w:lang w:eastAsia="en-US"/>
        </w:rPr>
        <w:t xml:space="preserve"> in and </w:t>
      </w:r>
      <w:proofErr w:type="spellStart"/>
      <w:r w:rsidRPr="00B93FD4">
        <w:rPr>
          <w:rFonts w:ascii="Verdana" w:eastAsiaTheme="minorHAnsi" w:hAnsi="Verdana" w:cstheme="minorBidi"/>
          <w:lang w:eastAsia="en-US"/>
        </w:rPr>
        <w:t>through</w:t>
      </w:r>
      <w:proofErr w:type="spellEnd"/>
      <w:r w:rsidRPr="00B93FD4">
        <w:rPr>
          <w:rFonts w:ascii="Verdana" w:eastAsiaTheme="minorHAnsi" w:hAnsi="Verdana" w:cstheme="minorBidi"/>
          <w:lang w:eastAsia="en-US"/>
        </w:rPr>
        <w:t xml:space="preserve"> Sport</w:t>
      </w:r>
      <w:r w:rsidRPr="006254C8">
        <w:rPr>
          <w:rFonts w:ascii="Verdana" w:eastAsiaTheme="minorHAnsi" w:hAnsi="Verdana" w:cstheme="minorBidi"/>
          <w:lang w:eastAsia="en-US"/>
        </w:rPr>
        <w:t xml:space="preserve">) au Sport Center SC Jane </w:t>
      </w:r>
      <w:proofErr w:type="spellStart"/>
      <w:r w:rsidRPr="006254C8">
        <w:rPr>
          <w:rFonts w:ascii="Verdana" w:eastAsiaTheme="minorHAnsi" w:hAnsi="Verdana" w:cstheme="minorBidi"/>
          <w:lang w:eastAsia="en-US"/>
        </w:rPr>
        <w:t>Sandanski</w:t>
      </w:r>
      <w:proofErr w:type="spellEnd"/>
      <w:r w:rsidRPr="006254C8">
        <w:rPr>
          <w:rFonts w:ascii="Verdana" w:eastAsiaTheme="minorHAnsi" w:hAnsi="Verdana" w:cstheme="minorBidi"/>
          <w:lang w:eastAsia="en-US"/>
        </w:rPr>
        <w:t xml:space="preserve"> à Skopje, en Macédoine du Nord.</w:t>
      </w:r>
      <w:r w:rsidR="006254C8">
        <w:rPr>
          <w:rFonts w:ascii="Verdana" w:eastAsiaTheme="minorHAnsi" w:hAnsi="Verdana" w:cstheme="minorBidi"/>
          <w:lang w:eastAsia="en-US"/>
        </w:rPr>
        <w:t xml:space="preserve"> </w:t>
      </w:r>
      <w:r w:rsidRPr="006254C8">
        <w:rPr>
          <w:rFonts w:ascii="Verdana" w:eastAsiaTheme="minorHAnsi" w:hAnsi="Verdana" w:cstheme="minorBidi"/>
          <w:lang w:eastAsia="en-US"/>
        </w:rPr>
        <w:t xml:space="preserve">Organisée avec notre partenaire, le Comité Olympique de Macédoine du Nord, cette rencontre a été l’occasion de présenter les résultats de ce projet européen Erasmus+ dont le but est de sensibiliser et de former </w:t>
      </w:r>
      <w:r w:rsidR="006254C8">
        <w:rPr>
          <w:rFonts w:ascii="Verdana" w:eastAsiaTheme="minorHAnsi" w:hAnsi="Verdana" w:cstheme="minorBidi"/>
          <w:lang w:eastAsia="en-US"/>
        </w:rPr>
        <w:t xml:space="preserve">les </w:t>
      </w:r>
      <w:r w:rsidRPr="006254C8">
        <w:rPr>
          <w:rFonts w:ascii="Verdana" w:eastAsiaTheme="minorHAnsi" w:hAnsi="Verdana" w:cstheme="minorBidi"/>
          <w:lang w:eastAsia="en-US"/>
        </w:rPr>
        <w:t>enseignants et éducateurs sportifs au développement de la pratique sportive des enfants et adolescents en situation de handicap en Europe. Elle a permis également d’explorer le contexte macédonien de l’inclusion dans et par le sport.</w:t>
      </w:r>
    </w:p>
    <w:p w14:paraId="387EE09A" w14:textId="5EED56BC" w:rsidR="00801F3C" w:rsidRPr="00077972" w:rsidRDefault="003C534E" w:rsidP="00033C4E">
      <w:pPr>
        <w:pStyle w:val="NormalWeb"/>
        <w:shd w:val="clear" w:color="auto" w:fill="FFFFFF"/>
        <w:spacing w:before="0" w:beforeAutospacing="0" w:after="240" w:afterAutospacing="0" w:line="408" w:lineRule="atLeast"/>
      </w:pPr>
      <w:r>
        <w:rPr>
          <w:rFonts w:ascii="Verdana" w:eastAsiaTheme="minorHAnsi" w:hAnsi="Verdana" w:cstheme="minorBidi"/>
          <w:lang w:eastAsia="en-US"/>
        </w:rPr>
        <w:lastRenderedPageBreak/>
        <w:t>Pour en savoir plus :</w:t>
      </w:r>
      <w:r w:rsidR="00801F3C" w:rsidRPr="00801F3C">
        <w:rPr>
          <w:rFonts w:ascii="Verdana" w:eastAsiaTheme="minorHAnsi" w:hAnsi="Verdana" w:cstheme="minorBidi"/>
          <w:lang w:eastAsia="en-US"/>
        </w:rPr>
        <w:t xml:space="preserve"> </w:t>
      </w:r>
      <w:hyperlink r:id="rId65" w:history="1">
        <w:r w:rsidR="00801F3C" w:rsidRPr="00801F3C">
          <w:rPr>
            <w:rStyle w:val="Lienhypertexte"/>
            <w:rFonts w:ascii="Verdana" w:hAnsi="Verdana"/>
          </w:rPr>
          <w:t>https://www.france-education-international.fr/expertises/cooperation-education/projets/idi4sport-inclusion-and-disabilities-and-through-sport?langue=fr</w:t>
        </w:r>
      </w:hyperlink>
    </w:p>
    <w:p w14:paraId="4722E532" w14:textId="307403C5" w:rsidR="002F15B7" w:rsidRDefault="00FA0D54">
      <w:pPr>
        <w:rPr>
          <w:b/>
          <w:bCs/>
        </w:rPr>
      </w:pPr>
      <w:r>
        <w:rPr>
          <w:b/>
          <w:bCs/>
        </w:rPr>
        <w:t xml:space="preserve">Pour rappel, l’INSEI dispose de plusieurs bourses de mobilité Erasmus+ d’enseignement et de formation du personnel. N’hésitez pas à passer voir Marylise </w:t>
      </w:r>
      <w:proofErr w:type="spellStart"/>
      <w:r>
        <w:rPr>
          <w:b/>
          <w:bCs/>
        </w:rPr>
        <w:t>Lainard</w:t>
      </w:r>
      <w:proofErr w:type="spellEnd"/>
      <w:r>
        <w:rPr>
          <w:b/>
          <w:bCs/>
        </w:rPr>
        <w:t xml:space="preserve"> au service des relations internationales (Bureau B409) si vous êtes intéressés !</w:t>
      </w:r>
    </w:p>
    <w:p w14:paraId="20BF9C7D" w14:textId="77777777" w:rsidR="002F15B7" w:rsidRDefault="00FA0D54">
      <w:pPr>
        <w:spacing w:after="0"/>
      </w:pPr>
      <w:r>
        <w:br w:type="page" w:clear="all"/>
      </w:r>
    </w:p>
    <w:p w14:paraId="71E31B68" w14:textId="77777777" w:rsidR="002F15B7" w:rsidRPr="00DD5019" w:rsidRDefault="00FA0D54" w:rsidP="00DD5019">
      <w:pPr>
        <w:pStyle w:val="Titre1"/>
      </w:pPr>
      <w:bookmarkStart w:id="32" w:name="_Toc189733288"/>
      <w:bookmarkStart w:id="33" w:name="_Toc189733349"/>
      <w:bookmarkStart w:id="34" w:name="_Toc211587444"/>
      <w:r w:rsidRPr="00DD5019">
        <w:lastRenderedPageBreak/>
        <w:t>Merci !</w:t>
      </w:r>
      <w:bookmarkEnd w:id="32"/>
      <w:bookmarkEnd w:id="33"/>
      <w:bookmarkEnd w:id="34"/>
    </w:p>
    <w:p w14:paraId="309F673C" w14:textId="77777777" w:rsidR="002F15B7" w:rsidRDefault="00FA0D54">
      <w:r>
        <w:t>INSEI</w:t>
      </w:r>
    </w:p>
    <w:p w14:paraId="6E482569" w14:textId="74EF421D" w:rsidR="002F15B7" w:rsidRDefault="00FA0D54">
      <w:r>
        <w:t>Institut national supérieur de formation et de recherche pour l</w:t>
      </w:r>
      <w:r w:rsidR="00EF607C">
        <w:t>’é</w:t>
      </w:r>
      <w:r>
        <w:t>ducation inclusive</w:t>
      </w:r>
    </w:p>
    <w:p w14:paraId="60D02B52" w14:textId="77777777" w:rsidR="002F15B7" w:rsidRDefault="00FA0D54">
      <w:r>
        <w:t>58-60, avenue des Landes 92150 Suresnes</w:t>
      </w:r>
    </w:p>
    <w:p w14:paraId="2D1AE47F" w14:textId="77777777" w:rsidR="002F15B7" w:rsidRDefault="00FA0D54">
      <w:pPr>
        <w:spacing w:before="360"/>
      </w:pPr>
      <w:r>
        <w:t>Pôle recherche, valorisation, partenariat et relations internationales</w:t>
      </w:r>
    </w:p>
    <w:p w14:paraId="7BBCB1B4" w14:textId="77777777" w:rsidR="002F15B7" w:rsidRDefault="00FA0D54">
      <w:pPr>
        <w:spacing w:after="240"/>
      </w:pPr>
      <w:r>
        <w:t>Tél : 01 41 44 31 35</w:t>
      </w:r>
    </w:p>
    <w:p w14:paraId="10FA30DE" w14:textId="77777777" w:rsidR="002F15B7" w:rsidRDefault="00FA0D54">
      <w:pPr>
        <w:spacing w:after="360"/>
      </w:pPr>
      <w:r>
        <w:t xml:space="preserve">Contact : </w:t>
      </w:r>
      <w:hyperlink r:id="rId66" w:tooltip="mailto:lucyna.gomez-echeverri@insei.fr" w:history="1">
        <w:r>
          <w:rPr>
            <w:rStyle w:val="Lienhypertexte"/>
          </w:rPr>
          <w:t>lucyna.gomez-echeverri@insei.fr</w:t>
        </w:r>
      </w:hyperlink>
    </w:p>
    <w:p w14:paraId="69316C78" w14:textId="77777777" w:rsidR="002F15B7" w:rsidRDefault="00FA0D54">
      <w:pPr>
        <w:rPr>
          <w:color w:val="2F5496" w:themeColor="accent1" w:themeShade="BF"/>
          <w:u w:val="single"/>
        </w:rPr>
      </w:pPr>
      <w:r>
        <w:t xml:space="preserve">Pour vous abonner à la newsletter, c’est juste ici : </w:t>
      </w:r>
      <w:r>
        <w:br/>
      </w:r>
      <w:hyperlink r:id="rId67" w:tooltip="https://sondages.inshea.fr/index.php/954869?lang=fr" w:history="1">
        <w:r>
          <w:rPr>
            <w:rStyle w:val="Lienhypertexte"/>
          </w:rPr>
          <w:t>https://sondages.inshea.fr/index.php/954869?lang=fr</w:t>
        </w:r>
      </w:hyperlink>
    </w:p>
    <w:sectPr w:rsidR="002F15B7">
      <w:footerReference w:type="default" r:id="rId68"/>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3E6609" w14:textId="77777777" w:rsidR="00F7066C" w:rsidRDefault="00F7066C">
      <w:pPr>
        <w:spacing w:after="0"/>
      </w:pPr>
      <w:r>
        <w:separator/>
      </w:r>
    </w:p>
  </w:endnote>
  <w:endnote w:type="continuationSeparator" w:id="0">
    <w:p w14:paraId="2256DE00" w14:textId="77777777" w:rsidR="00F7066C" w:rsidRDefault="00F7066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Times New Roman (Corps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94537" w14:textId="77777777" w:rsidR="002F15B7" w:rsidRDefault="002F15B7">
    <w:pPr>
      <w:pStyle w:val="Pieddepage"/>
      <w:spacing w:after="120"/>
      <w:jc w:val="center"/>
    </w:pPr>
  </w:p>
  <w:p w14:paraId="6F311FC0" w14:textId="77777777" w:rsidR="002F15B7" w:rsidRDefault="00FA0D54">
    <w:pPr>
      <w:pStyle w:val="Pieddepage"/>
      <w:spacing w:after="120"/>
      <w:jc w:val="center"/>
      <w:rPr>
        <w:sz w:val="20"/>
        <w:szCs w:val="20"/>
      </w:rPr>
    </w:pPr>
    <w:r>
      <w:rPr>
        <w:sz w:val="20"/>
        <w:szCs w:val="20"/>
      </w:rPr>
      <w:t xml:space="preserve">Newsletter « Recherche et international » – Octobre 2025 – INSEI – Page </w:t>
    </w:r>
    <w:r>
      <w:rPr>
        <w:sz w:val="20"/>
        <w:szCs w:val="20"/>
      </w:rPr>
      <w:fldChar w:fldCharType="begin"/>
    </w:r>
    <w:r>
      <w:rPr>
        <w:sz w:val="20"/>
        <w:szCs w:val="20"/>
      </w:rPr>
      <w:instrText xml:space="preserve"> PAGE </w:instrText>
    </w:r>
    <w:r>
      <w:rPr>
        <w:sz w:val="20"/>
        <w:szCs w:val="20"/>
      </w:rPr>
      <w:fldChar w:fldCharType="separate"/>
    </w:r>
    <w:r>
      <w:rPr>
        <w:sz w:val="20"/>
        <w:szCs w:val="20"/>
      </w:rPr>
      <w:t>20</w:t>
    </w:r>
    <w:r>
      <w:rPr>
        <w:sz w:val="20"/>
        <w:szCs w:val="20"/>
      </w:rPr>
      <w:fldChar w:fldCharType="end"/>
    </w:r>
    <w:r>
      <w:rPr>
        <w:sz w:val="20"/>
        <w:szCs w:val="20"/>
      </w:rPr>
      <w:t xml:space="preserve"> sur </w:t>
    </w:r>
    <w:r>
      <w:rPr>
        <w:sz w:val="20"/>
        <w:szCs w:val="20"/>
      </w:rPr>
      <w:fldChar w:fldCharType="begin"/>
    </w:r>
    <w:r>
      <w:rPr>
        <w:sz w:val="20"/>
        <w:szCs w:val="20"/>
      </w:rPr>
      <w:instrText xml:space="preserve"> NUMPAGES </w:instrText>
    </w:r>
    <w:r>
      <w:rPr>
        <w:sz w:val="20"/>
        <w:szCs w:val="20"/>
      </w:rPr>
      <w:fldChar w:fldCharType="separate"/>
    </w:r>
    <w:r>
      <w:rPr>
        <w:sz w:val="20"/>
        <w:szCs w:val="20"/>
      </w:rPr>
      <w:t>20</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B7F753" w14:textId="77777777" w:rsidR="00F7066C" w:rsidRDefault="00F7066C">
      <w:pPr>
        <w:spacing w:after="0"/>
      </w:pPr>
      <w:r>
        <w:separator/>
      </w:r>
    </w:p>
  </w:footnote>
  <w:footnote w:type="continuationSeparator" w:id="0">
    <w:p w14:paraId="35383F21" w14:textId="77777777" w:rsidR="00F7066C" w:rsidRDefault="00F7066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644C0"/>
    <w:multiLevelType w:val="multilevel"/>
    <w:tmpl w:val="5D3430D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1E4E59"/>
    <w:multiLevelType w:val="multilevel"/>
    <w:tmpl w:val="E2E2A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2967B5"/>
    <w:multiLevelType w:val="multilevel"/>
    <w:tmpl w:val="BE38F1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C756A7"/>
    <w:multiLevelType w:val="multilevel"/>
    <w:tmpl w:val="254089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546436"/>
    <w:multiLevelType w:val="multilevel"/>
    <w:tmpl w:val="6D1642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FC4BBC"/>
    <w:multiLevelType w:val="multilevel"/>
    <w:tmpl w:val="5B6EF4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D8351F"/>
    <w:multiLevelType w:val="multilevel"/>
    <w:tmpl w:val="6CAEE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236707"/>
    <w:multiLevelType w:val="hybridMultilevel"/>
    <w:tmpl w:val="E4C622AE"/>
    <w:lvl w:ilvl="0" w:tplc="B952FCB8">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BF54E40"/>
    <w:multiLevelType w:val="multilevel"/>
    <w:tmpl w:val="5926609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9" w15:restartNumberingAfterBreak="0">
    <w:nsid w:val="218C3C7B"/>
    <w:multiLevelType w:val="multilevel"/>
    <w:tmpl w:val="FC5E2E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EA292D"/>
    <w:multiLevelType w:val="multilevel"/>
    <w:tmpl w:val="BAC001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2E0A86"/>
    <w:multiLevelType w:val="multilevel"/>
    <w:tmpl w:val="C420B6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105213"/>
    <w:multiLevelType w:val="multilevel"/>
    <w:tmpl w:val="9E1072C6"/>
    <w:styleLink w:val="Listeactuelle1"/>
    <w:lvl w:ilvl="0">
      <w:start w:val="1"/>
      <w:numFmt w:val="bullet"/>
      <w:lvlText w:val="•"/>
      <w:lvlJc w:val="left"/>
      <w:pPr>
        <w:tabs>
          <w:tab w:val="num" w:pos="720"/>
        </w:tabs>
        <w:ind w:left="720" w:hanging="360"/>
      </w:pPr>
      <w:rPr>
        <w:rFonts w:ascii="Arial" w:hAnsi="Arial" w:hint="default"/>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13" w15:restartNumberingAfterBreak="0">
    <w:nsid w:val="31460C9F"/>
    <w:multiLevelType w:val="multilevel"/>
    <w:tmpl w:val="CD9087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39055EF"/>
    <w:multiLevelType w:val="multilevel"/>
    <w:tmpl w:val="F3905C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726F29"/>
    <w:multiLevelType w:val="multilevel"/>
    <w:tmpl w:val="6DB087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7A0C26"/>
    <w:multiLevelType w:val="multilevel"/>
    <w:tmpl w:val="8458A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3E6EFE"/>
    <w:multiLevelType w:val="multilevel"/>
    <w:tmpl w:val="C3D2FC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3B53E9E"/>
    <w:multiLevelType w:val="multilevel"/>
    <w:tmpl w:val="0E72A0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3F6207"/>
    <w:multiLevelType w:val="multilevel"/>
    <w:tmpl w:val="D174C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086245"/>
    <w:multiLevelType w:val="multilevel"/>
    <w:tmpl w:val="9E1072C6"/>
    <w:lvl w:ilvl="0">
      <w:start w:val="1"/>
      <w:numFmt w:val="bullet"/>
      <w:lvlText w:val="•"/>
      <w:lvlJc w:val="left"/>
      <w:pPr>
        <w:tabs>
          <w:tab w:val="num" w:pos="720"/>
        </w:tabs>
        <w:ind w:left="720" w:hanging="360"/>
      </w:pPr>
      <w:rPr>
        <w:rFonts w:ascii="Arial" w:hAnsi="Arial" w:hint="default"/>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21" w15:restartNumberingAfterBreak="0">
    <w:nsid w:val="4BDA252B"/>
    <w:multiLevelType w:val="multilevel"/>
    <w:tmpl w:val="53401E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A505C7"/>
    <w:multiLevelType w:val="multilevel"/>
    <w:tmpl w:val="AE16EF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6701B1"/>
    <w:multiLevelType w:val="multilevel"/>
    <w:tmpl w:val="20B422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7C2CB6"/>
    <w:multiLevelType w:val="multilevel"/>
    <w:tmpl w:val="04BAB9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9161B6"/>
    <w:multiLevelType w:val="multilevel"/>
    <w:tmpl w:val="851E3E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7C5A1E"/>
    <w:multiLevelType w:val="multilevel"/>
    <w:tmpl w:val="E35CEF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616777F6"/>
    <w:multiLevelType w:val="multilevel"/>
    <w:tmpl w:val="CEA41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07116B"/>
    <w:multiLevelType w:val="multilevel"/>
    <w:tmpl w:val="B030B5CA"/>
    <w:lvl w:ilvl="0">
      <w:start w:val="1"/>
      <w:numFmt w:val="bullet"/>
      <w:lvlText w:val="•"/>
      <w:lvlJc w:val="left"/>
      <w:pPr>
        <w:tabs>
          <w:tab w:val="num" w:pos="720"/>
        </w:tabs>
        <w:ind w:left="720" w:hanging="360"/>
      </w:pPr>
      <w:rPr>
        <w:rFonts w:ascii="Arial" w:hAnsi="Arial" w:hint="default"/>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29" w15:restartNumberingAfterBreak="0">
    <w:nsid w:val="6CDB57C2"/>
    <w:multiLevelType w:val="multilevel"/>
    <w:tmpl w:val="C78A72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AA50A3"/>
    <w:multiLevelType w:val="multilevel"/>
    <w:tmpl w:val="7ABE3E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263228C"/>
    <w:multiLevelType w:val="multilevel"/>
    <w:tmpl w:val="1A58EA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DC3146"/>
    <w:multiLevelType w:val="multilevel"/>
    <w:tmpl w:val="19BA59DE"/>
    <w:lvl w:ilvl="0">
      <w:start w:val="1"/>
      <w:numFmt w:val="bullet"/>
      <w:lvlText w:val="o"/>
      <w:lvlJc w:val="left"/>
      <w:pPr>
        <w:tabs>
          <w:tab w:val="num" w:pos="1069"/>
        </w:tabs>
        <w:ind w:left="1069" w:hanging="360"/>
      </w:pPr>
      <w:rPr>
        <w:rFonts w:ascii="Courier New" w:hAnsi="Courier New" w:cs="Courier New" w:hint="default"/>
      </w:rPr>
    </w:lvl>
    <w:lvl w:ilvl="1">
      <w:start w:val="1"/>
      <w:numFmt w:val="decimal"/>
      <w:lvlText w:val="%2."/>
      <w:lvlJc w:val="left"/>
      <w:pPr>
        <w:tabs>
          <w:tab w:val="num" w:pos="1789"/>
        </w:tabs>
        <w:ind w:left="1789" w:hanging="360"/>
      </w:pPr>
    </w:lvl>
    <w:lvl w:ilvl="2">
      <w:start w:val="1"/>
      <w:numFmt w:val="decimal"/>
      <w:lvlText w:val="%3."/>
      <w:lvlJc w:val="left"/>
      <w:pPr>
        <w:tabs>
          <w:tab w:val="num" w:pos="2509"/>
        </w:tabs>
        <w:ind w:left="2509" w:hanging="360"/>
      </w:pPr>
    </w:lvl>
    <w:lvl w:ilvl="3">
      <w:start w:val="1"/>
      <w:numFmt w:val="decimal"/>
      <w:lvlText w:val="%4."/>
      <w:lvlJc w:val="left"/>
      <w:pPr>
        <w:tabs>
          <w:tab w:val="num" w:pos="3229"/>
        </w:tabs>
        <w:ind w:left="3229" w:hanging="360"/>
      </w:pPr>
    </w:lvl>
    <w:lvl w:ilvl="4">
      <w:start w:val="1"/>
      <w:numFmt w:val="decimal"/>
      <w:lvlText w:val="%5."/>
      <w:lvlJc w:val="left"/>
      <w:pPr>
        <w:tabs>
          <w:tab w:val="num" w:pos="3949"/>
        </w:tabs>
        <w:ind w:left="3949" w:hanging="360"/>
      </w:pPr>
    </w:lvl>
    <w:lvl w:ilvl="5">
      <w:start w:val="1"/>
      <w:numFmt w:val="decimal"/>
      <w:lvlText w:val="%6."/>
      <w:lvlJc w:val="left"/>
      <w:pPr>
        <w:tabs>
          <w:tab w:val="num" w:pos="4669"/>
        </w:tabs>
        <w:ind w:left="4669" w:hanging="360"/>
      </w:pPr>
    </w:lvl>
    <w:lvl w:ilvl="6">
      <w:start w:val="1"/>
      <w:numFmt w:val="decimal"/>
      <w:lvlText w:val="%7."/>
      <w:lvlJc w:val="left"/>
      <w:pPr>
        <w:tabs>
          <w:tab w:val="num" w:pos="5389"/>
        </w:tabs>
        <w:ind w:left="5389" w:hanging="360"/>
      </w:pPr>
    </w:lvl>
    <w:lvl w:ilvl="7">
      <w:start w:val="1"/>
      <w:numFmt w:val="decimal"/>
      <w:lvlText w:val="%8."/>
      <w:lvlJc w:val="left"/>
      <w:pPr>
        <w:tabs>
          <w:tab w:val="num" w:pos="6109"/>
        </w:tabs>
        <w:ind w:left="6109" w:hanging="360"/>
      </w:pPr>
    </w:lvl>
    <w:lvl w:ilvl="8">
      <w:start w:val="1"/>
      <w:numFmt w:val="decimal"/>
      <w:lvlText w:val="%9."/>
      <w:lvlJc w:val="left"/>
      <w:pPr>
        <w:tabs>
          <w:tab w:val="num" w:pos="6829"/>
        </w:tabs>
        <w:ind w:left="6829" w:hanging="360"/>
      </w:pPr>
    </w:lvl>
  </w:abstractNum>
  <w:abstractNum w:abstractNumId="33" w15:restartNumberingAfterBreak="0">
    <w:nsid w:val="73F12970"/>
    <w:multiLevelType w:val="multilevel"/>
    <w:tmpl w:val="D26E81B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34" w15:restartNumberingAfterBreak="0">
    <w:nsid w:val="75E94737"/>
    <w:multiLevelType w:val="multilevel"/>
    <w:tmpl w:val="83ACE0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87609D"/>
    <w:multiLevelType w:val="multilevel"/>
    <w:tmpl w:val="494C76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B42E8D"/>
    <w:multiLevelType w:val="multilevel"/>
    <w:tmpl w:val="07A0F4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228001660">
    <w:abstractNumId w:val="30"/>
  </w:num>
  <w:num w:numId="2" w16cid:durableId="1089035817">
    <w:abstractNumId w:val="0"/>
  </w:num>
  <w:num w:numId="3" w16cid:durableId="87972951">
    <w:abstractNumId w:val="32"/>
  </w:num>
  <w:num w:numId="4" w16cid:durableId="1658192968">
    <w:abstractNumId w:val="34"/>
  </w:num>
  <w:num w:numId="5" w16cid:durableId="425082436">
    <w:abstractNumId w:val="33"/>
  </w:num>
  <w:num w:numId="6" w16cid:durableId="305859020">
    <w:abstractNumId w:val="8"/>
  </w:num>
  <w:num w:numId="7" w16cid:durableId="1434745014">
    <w:abstractNumId w:val="26"/>
  </w:num>
  <w:num w:numId="8" w16cid:durableId="871381122">
    <w:abstractNumId w:val="22"/>
  </w:num>
  <w:num w:numId="9" w16cid:durableId="477846335">
    <w:abstractNumId w:val="4"/>
  </w:num>
  <w:num w:numId="10" w16cid:durableId="1918783381">
    <w:abstractNumId w:val="16"/>
  </w:num>
  <w:num w:numId="11" w16cid:durableId="337462551">
    <w:abstractNumId w:val="11"/>
  </w:num>
  <w:num w:numId="12" w16cid:durableId="1343778465">
    <w:abstractNumId w:val="9"/>
  </w:num>
  <w:num w:numId="13" w16cid:durableId="769356680">
    <w:abstractNumId w:val="23"/>
  </w:num>
  <w:num w:numId="14" w16cid:durableId="1710105582">
    <w:abstractNumId w:val="36"/>
  </w:num>
  <w:num w:numId="15" w16cid:durableId="656543311">
    <w:abstractNumId w:val="10"/>
  </w:num>
  <w:num w:numId="16" w16cid:durableId="1642494057">
    <w:abstractNumId w:val="13"/>
  </w:num>
  <w:num w:numId="17" w16cid:durableId="749011614">
    <w:abstractNumId w:val="19"/>
  </w:num>
  <w:num w:numId="18" w16cid:durableId="1288856570">
    <w:abstractNumId w:val="27"/>
  </w:num>
  <w:num w:numId="19" w16cid:durableId="325939745">
    <w:abstractNumId w:val="24"/>
  </w:num>
  <w:num w:numId="20" w16cid:durableId="975067649">
    <w:abstractNumId w:val="5"/>
  </w:num>
  <w:num w:numId="21" w16cid:durableId="1392391183">
    <w:abstractNumId w:val="2"/>
  </w:num>
  <w:num w:numId="22" w16cid:durableId="1141773678">
    <w:abstractNumId w:val="3"/>
  </w:num>
  <w:num w:numId="23" w16cid:durableId="1316103141">
    <w:abstractNumId w:val="31"/>
  </w:num>
  <w:num w:numId="24" w16cid:durableId="118108810">
    <w:abstractNumId w:val="21"/>
  </w:num>
  <w:num w:numId="25" w16cid:durableId="1109006621">
    <w:abstractNumId w:val="18"/>
  </w:num>
  <w:num w:numId="26" w16cid:durableId="482890017">
    <w:abstractNumId w:val="14"/>
  </w:num>
  <w:num w:numId="27" w16cid:durableId="174153839">
    <w:abstractNumId w:val="25"/>
  </w:num>
  <w:num w:numId="28" w16cid:durableId="138961002">
    <w:abstractNumId w:val="15"/>
  </w:num>
  <w:num w:numId="29" w16cid:durableId="1558197642">
    <w:abstractNumId w:val="17"/>
  </w:num>
  <w:num w:numId="30" w16cid:durableId="1764763936">
    <w:abstractNumId w:val="28"/>
  </w:num>
  <w:num w:numId="31" w16cid:durableId="1972711400">
    <w:abstractNumId w:val="20"/>
  </w:num>
  <w:num w:numId="32" w16cid:durableId="363599823">
    <w:abstractNumId w:val="29"/>
  </w:num>
  <w:num w:numId="33" w16cid:durableId="492141903">
    <w:abstractNumId w:val="35"/>
  </w:num>
  <w:num w:numId="34" w16cid:durableId="1731461748">
    <w:abstractNumId w:val="7"/>
  </w:num>
  <w:num w:numId="35" w16cid:durableId="1467049273">
    <w:abstractNumId w:val="1"/>
  </w:num>
  <w:num w:numId="36" w16cid:durableId="1598758388">
    <w:abstractNumId w:val="6"/>
  </w:num>
  <w:num w:numId="37" w16cid:durableId="19887085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5B7"/>
    <w:rsid w:val="00002338"/>
    <w:rsid w:val="000151AC"/>
    <w:rsid w:val="0001738B"/>
    <w:rsid w:val="000249AC"/>
    <w:rsid w:val="000271ED"/>
    <w:rsid w:val="000273D6"/>
    <w:rsid w:val="00033C4E"/>
    <w:rsid w:val="00036417"/>
    <w:rsid w:val="00046441"/>
    <w:rsid w:val="00050200"/>
    <w:rsid w:val="00054D61"/>
    <w:rsid w:val="0006259F"/>
    <w:rsid w:val="00077972"/>
    <w:rsid w:val="00077987"/>
    <w:rsid w:val="0008197B"/>
    <w:rsid w:val="00085DEC"/>
    <w:rsid w:val="00087197"/>
    <w:rsid w:val="000920E9"/>
    <w:rsid w:val="000B10E8"/>
    <w:rsid w:val="000C118A"/>
    <w:rsid w:val="000C30DA"/>
    <w:rsid w:val="000D2945"/>
    <w:rsid w:val="000E022F"/>
    <w:rsid w:val="000E2136"/>
    <w:rsid w:val="000E51D1"/>
    <w:rsid w:val="000F0125"/>
    <w:rsid w:val="000F2E93"/>
    <w:rsid w:val="001150B4"/>
    <w:rsid w:val="00121573"/>
    <w:rsid w:val="00122337"/>
    <w:rsid w:val="0013648F"/>
    <w:rsid w:val="001500F1"/>
    <w:rsid w:val="001607BA"/>
    <w:rsid w:val="00161EBC"/>
    <w:rsid w:val="0016324A"/>
    <w:rsid w:val="00167C30"/>
    <w:rsid w:val="00171A38"/>
    <w:rsid w:val="001750F5"/>
    <w:rsid w:val="00177DCB"/>
    <w:rsid w:val="00182EDB"/>
    <w:rsid w:val="00194A15"/>
    <w:rsid w:val="001A5BEC"/>
    <w:rsid w:val="001B4DB3"/>
    <w:rsid w:val="001C2323"/>
    <w:rsid w:val="001D6602"/>
    <w:rsid w:val="001D67C3"/>
    <w:rsid w:val="001F1C57"/>
    <w:rsid w:val="001F73C4"/>
    <w:rsid w:val="002021CE"/>
    <w:rsid w:val="00202742"/>
    <w:rsid w:val="00203B2F"/>
    <w:rsid w:val="002102C0"/>
    <w:rsid w:val="00222C4C"/>
    <w:rsid w:val="0023465D"/>
    <w:rsid w:val="00236EF5"/>
    <w:rsid w:val="00237A87"/>
    <w:rsid w:val="002546A5"/>
    <w:rsid w:val="00264447"/>
    <w:rsid w:val="002646C1"/>
    <w:rsid w:val="0027154D"/>
    <w:rsid w:val="00272BB4"/>
    <w:rsid w:val="00274670"/>
    <w:rsid w:val="00277A03"/>
    <w:rsid w:val="00283DC0"/>
    <w:rsid w:val="00286015"/>
    <w:rsid w:val="00293CE5"/>
    <w:rsid w:val="002A0FE6"/>
    <w:rsid w:val="002C0F73"/>
    <w:rsid w:val="002C1D7D"/>
    <w:rsid w:val="002C65BC"/>
    <w:rsid w:val="002D12A4"/>
    <w:rsid w:val="002E0782"/>
    <w:rsid w:val="002E3357"/>
    <w:rsid w:val="002E537A"/>
    <w:rsid w:val="002F0595"/>
    <w:rsid w:val="002F15B7"/>
    <w:rsid w:val="00300BBD"/>
    <w:rsid w:val="003071F4"/>
    <w:rsid w:val="00307C54"/>
    <w:rsid w:val="00315BC2"/>
    <w:rsid w:val="00325560"/>
    <w:rsid w:val="00330CE1"/>
    <w:rsid w:val="0033698F"/>
    <w:rsid w:val="00342C6A"/>
    <w:rsid w:val="003446F6"/>
    <w:rsid w:val="00365154"/>
    <w:rsid w:val="00366949"/>
    <w:rsid w:val="00372E2F"/>
    <w:rsid w:val="00374112"/>
    <w:rsid w:val="00374908"/>
    <w:rsid w:val="00376593"/>
    <w:rsid w:val="0038243A"/>
    <w:rsid w:val="00383007"/>
    <w:rsid w:val="003866D6"/>
    <w:rsid w:val="00394C25"/>
    <w:rsid w:val="003A1CFC"/>
    <w:rsid w:val="003B7EB5"/>
    <w:rsid w:val="003C534E"/>
    <w:rsid w:val="003E38D9"/>
    <w:rsid w:val="003F1683"/>
    <w:rsid w:val="003F3DDB"/>
    <w:rsid w:val="00402554"/>
    <w:rsid w:val="00403224"/>
    <w:rsid w:val="00412351"/>
    <w:rsid w:val="00416602"/>
    <w:rsid w:val="00416E5E"/>
    <w:rsid w:val="004224E0"/>
    <w:rsid w:val="00422A7C"/>
    <w:rsid w:val="004263B4"/>
    <w:rsid w:val="00443F8C"/>
    <w:rsid w:val="00457055"/>
    <w:rsid w:val="0046387D"/>
    <w:rsid w:val="00474E7A"/>
    <w:rsid w:val="00474E9F"/>
    <w:rsid w:val="00481523"/>
    <w:rsid w:val="00482ACF"/>
    <w:rsid w:val="0048737D"/>
    <w:rsid w:val="004917A5"/>
    <w:rsid w:val="00493342"/>
    <w:rsid w:val="004960CD"/>
    <w:rsid w:val="00496189"/>
    <w:rsid w:val="004A2194"/>
    <w:rsid w:val="004B0967"/>
    <w:rsid w:val="004D17D2"/>
    <w:rsid w:val="004E6635"/>
    <w:rsid w:val="004F256A"/>
    <w:rsid w:val="004F3D84"/>
    <w:rsid w:val="0050048A"/>
    <w:rsid w:val="0050277A"/>
    <w:rsid w:val="005207ED"/>
    <w:rsid w:val="00533347"/>
    <w:rsid w:val="00553A41"/>
    <w:rsid w:val="0055705F"/>
    <w:rsid w:val="0057340D"/>
    <w:rsid w:val="00573D20"/>
    <w:rsid w:val="0057785E"/>
    <w:rsid w:val="00583936"/>
    <w:rsid w:val="00586D66"/>
    <w:rsid w:val="00593951"/>
    <w:rsid w:val="005A0DDA"/>
    <w:rsid w:val="005B1399"/>
    <w:rsid w:val="005B3275"/>
    <w:rsid w:val="005B36C2"/>
    <w:rsid w:val="005C60B8"/>
    <w:rsid w:val="005C70F5"/>
    <w:rsid w:val="005D7988"/>
    <w:rsid w:val="005E1736"/>
    <w:rsid w:val="00600FC9"/>
    <w:rsid w:val="0060547C"/>
    <w:rsid w:val="00611808"/>
    <w:rsid w:val="00620A27"/>
    <w:rsid w:val="00623F5B"/>
    <w:rsid w:val="00624D48"/>
    <w:rsid w:val="006254C8"/>
    <w:rsid w:val="006300A1"/>
    <w:rsid w:val="0063587D"/>
    <w:rsid w:val="00640BA2"/>
    <w:rsid w:val="00653DA0"/>
    <w:rsid w:val="00654529"/>
    <w:rsid w:val="00671F3D"/>
    <w:rsid w:val="0067238A"/>
    <w:rsid w:val="006933EA"/>
    <w:rsid w:val="006A16A2"/>
    <w:rsid w:val="006B0F20"/>
    <w:rsid w:val="006B1646"/>
    <w:rsid w:val="006B339F"/>
    <w:rsid w:val="006D4CCA"/>
    <w:rsid w:val="006D6DC4"/>
    <w:rsid w:val="006D745A"/>
    <w:rsid w:val="006E0F6B"/>
    <w:rsid w:val="006E1021"/>
    <w:rsid w:val="006E2F1E"/>
    <w:rsid w:val="006F77F7"/>
    <w:rsid w:val="006F7823"/>
    <w:rsid w:val="0072339F"/>
    <w:rsid w:val="00723553"/>
    <w:rsid w:val="007276D8"/>
    <w:rsid w:val="0073622C"/>
    <w:rsid w:val="007378BE"/>
    <w:rsid w:val="00745243"/>
    <w:rsid w:val="007611D6"/>
    <w:rsid w:val="0076385F"/>
    <w:rsid w:val="00767068"/>
    <w:rsid w:val="00781160"/>
    <w:rsid w:val="007821A1"/>
    <w:rsid w:val="00786AE7"/>
    <w:rsid w:val="0078713B"/>
    <w:rsid w:val="00791124"/>
    <w:rsid w:val="007954EE"/>
    <w:rsid w:val="007A6305"/>
    <w:rsid w:val="007B72C1"/>
    <w:rsid w:val="007B78E7"/>
    <w:rsid w:val="007C156C"/>
    <w:rsid w:val="007D0D69"/>
    <w:rsid w:val="007D3894"/>
    <w:rsid w:val="008008A1"/>
    <w:rsid w:val="00801F3C"/>
    <w:rsid w:val="00806BAC"/>
    <w:rsid w:val="00810315"/>
    <w:rsid w:val="00813A1E"/>
    <w:rsid w:val="00835376"/>
    <w:rsid w:val="00853392"/>
    <w:rsid w:val="008556EE"/>
    <w:rsid w:val="00856BC6"/>
    <w:rsid w:val="008677CE"/>
    <w:rsid w:val="008733E3"/>
    <w:rsid w:val="00875C75"/>
    <w:rsid w:val="008761E6"/>
    <w:rsid w:val="00880C05"/>
    <w:rsid w:val="008918CA"/>
    <w:rsid w:val="00892D0F"/>
    <w:rsid w:val="008A5B68"/>
    <w:rsid w:val="008B161D"/>
    <w:rsid w:val="008B6544"/>
    <w:rsid w:val="008B7E34"/>
    <w:rsid w:val="008C3C7C"/>
    <w:rsid w:val="008E0E05"/>
    <w:rsid w:val="008E11CE"/>
    <w:rsid w:val="008F160C"/>
    <w:rsid w:val="008F18BB"/>
    <w:rsid w:val="00900425"/>
    <w:rsid w:val="0090440D"/>
    <w:rsid w:val="0090480B"/>
    <w:rsid w:val="00911989"/>
    <w:rsid w:val="00920FC2"/>
    <w:rsid w:val="009233B1"/>
    <w:rsid w:val="00924155"/>
    <w:rsid w:val="009260EB"/>
    <w:rsid w:val="0093423E"/>
    <w:rsid w:val="00941E91"/>
    <w:rsid w:val="00942F5C"/>
    <w:rsid w:val="00944635"/>
    <w:rsid w:val="00945291"/>
    <w:rsid w:val="00950649"/>
    <w:rsid w:val="009625AA"/>
    <w:rsid w:val="00962F0A"/>
    <w:rsid w:val="009632EA"/>
    <w:rsid w:val="00966903"/>
    <w:rsid w:val="00972AD3"/>
    <w:rsid w:val="00980375"/>
    <w:rsid w:val="00990F43"/>
    <w:rsid w:val="009938A7"/>
    <w:rsid w:val="009A6E91"/>
    <w:rsid w:val="009B2304"/>
    <w:rsid w:val="009B3026"/>
    <w:rsid w:val="009C3360"/>
    <w:rsid w:val="009D6C3D"/>
    <w:rsid w:val="009D743B"/>
    <w:rsid w:val="009E4A7F"/>
    <w:rsid w:val="009F0040"/>
    <w:rsid w:val="009F4071"/>
    <w:rsid w:val="009F6EEF"/>
    <w:rsid w:val="009F721E"/>
    <w:rsid w:val="00A06CE6"/>
    <w:rsid w:val="00A123D2"/>
    <w:rsid w:val="00A14080"/>
    <w:rsid w:val="00A230B8"/>
    <w:rsid w:val="00A26BF5"/>
    <w:rsid w:val="00A36B05"/>
    <w:rsid w:val="00A404CE"/>
    <w:rsid w:val="00A443A3"/>
    <w:rsid w:val="00A53EEE"/>
    <w:rsid w:val="00A54D1C"/>
    <w:rsid w:val="00A5514F"/>
    <w:rsid w:val="00A60CAA"/>
    <w:rsid w:val="00A67716"/>
    <w:rsid w:val="00A73F97"/>
    <w:rsid w:val="00AA3CF8"/>
    <w:rsid w:val="00AA6ED7"/>
    <w:rsid w:val="00AB42D4"/>
    <w:rsid w:val="00AB68F6"/>
    <w:rsid w:val="00AC642C"/>
    <w:rsid w:val="00AD247C"/>
    <w:rsid w:val="00AE36FB"/>
    <w:rsid w:val="00B01863"/>
    <w:rsid w:val="00B12ADC"/>
    <w:rsid w:val="00B31654"/>
    <w:rsid w:val="00B31CA5"/>
    <w:rsid w:val="00B34084"/>
    <w:rsid w:val="00B52C25"/>
    <w:rsid w:val="00B666D0"/>
    <w:rsid w:val="00B67A35"/>
    <w:rsid w:val="00B714B7"/>
    <w:rsid w:val="00B937A4"/>
    <w:rsid w:val="00B93FD4"/>
    <w:rsid w:val="00BB34E4"/>
    <w:rsid w:val="00BC0808"/>
    <w:rsid w:val="00BC148C"/>
    <w:rsid w:val="00BC2166"/>
    <w:rsid w:val="00BF2891"/>
    <w:rsid w:val="00C12DB6"/>
    <w:rsid w:val="00C21258"/>
    <w:rsid w:val="00C21A5E"/>
    <w:rsid w:val="00C2672E"/>
    <w:rsid w:val="00C3796A"/>
    <w:rsid w:val="00C65677"/>
    <w:rsid w:val="00C66E5A"/>
    <w:rsid w:val="00C708A4"/>
    <w:rsid w:val="00C95280"/>
    <w:rsid w:val="00CA4F24"/>
    <w:rsid w:val="00CA66A8"/>
    <w:rsid w:val="00CB1146"/>
    <w:rsid w:val="00CC2C88"/>
    <w:rsid w:val="00CC37CD"/>
    <w:rsid w:val="00CC62EB"/>
    <w:rsid w:val="00CE603A"/>
    <w:rsid w:val="00CF0A5D"/>
    <w:rsid w:val="00CF301E"/>
    <w:rsid w:val="00D0241B"/>
    <w:rsid w:val="00D17589"/>
    <w:rsid w:val="00D377C9"/>
    <w:rsid w:val="00D40CC2"/>
    <w:rsid w:val="00D447AA"/>
    <w:rsid w:val="00D53923"/>
    <w:rsid w:val="00D7419F"/>
    <w:rsid w:val="00D744C9"/>
    <w:rsid w:val="00D75374"/>
    <w:rsid w:val="00D76863"/>
    <w:rsid w:val="00DA0771"/>
    <w:rsid w:val="00DA3342"/>
    <w:rsid w:val="00DB7E1F"/>
    <w:rsid w:val="00DD199F"/>
    <w:rsid w:val="00DD2D93"/>
    <w:rsid w:val="00DD5019"/>
    <w:rsid w:val="00E0552B"/>
    <w:rsid w:val="00E12B10"/>
    <w:rsid w:val="00E3108C"/>
    <w:rsid w:val="00E44719"/>
    <w:rsid w:val="00E45AA4"/>
    <w:rsid w:val="00E464DB"/>
    <w:rsid w:val="00E56BB7"/>
    <w:rsid w:val="00E56C3B"/>
    <w:rsid w:val="00E665FE"/>
    <w:rsid w:val="00E815AA"/>
    <w:rsid w:val="00E840E6"/>
    <w:rsid w:val="00E8417C"/>
    <w:rsid w:val="00E9255F"/>
    <w:rsid w:val="00EB0FD3"/>
    <w:rsid w:val="00EB312D"/>
    <w:rsid w:val="00EC101A"/>
    <w:rsid w:val="00EC49B4"/>
    <w:rsid w:val="00EC6C87"/>
    <w:rsid w:val="00EE4BA7"/>
    <w:rsid w:val="00EE5F50"/>
    <w:rsid w:val="00EF607C"/>
    <w:rsid w:val="00F01339"/>
    <w:rsid w:val="00F119D1"/>
    <w:rsid w:val="00F1600B"/>
    <w:rsid w:val="00F20FF6"/>
    <w:rsid w:val="00F24A1F"/>
    <w:rsid w:val="00F40497"/>
    <w:rsid w:val="00F4097C"/>
    <w:rsid w:val="00F44157"/>
    <w:rsid w:val="00F464BC"/>
    <w:rsid w:val="00F7066C"/>
    <w:rsid w:val="00F81FB1"/>
    <w:rsid w:val="00F97FD9"/>
    <w:rsid w:val="00FA0D54"/>
    <w:rsid w:val="00FB2BAA"/>
    <w:rsid w:val="00FC3D8F"/>
    <w:rsid w:val="00FC76C2"/>
    <w:rsid w:val="00FE5586"/>
    <w:rsid w:val="00FF3D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BA7F1"/>
  <w15:docId w15:val="{7AD182E5-80B1-4DF0-8FEE-46506322B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60" w:line="360" w:lineRule="auto"/>
    </w:pPr>
    <w:rPr>
      <w:rFonts w:ascii="Verdana" w:hAnsi="Verdana"/>
    </w:rPr>
  </w:style>
  <w:style w:type="paragraph" w:styleId="Titre1">
    <w:name w:val="heading 1"/>
    <w:basedOn w:val="Normal"/>
    <w:next w:val="Normal"/>
    <w:link w:val="Titre1Car"/>
    <w:autoRedefine/>
    <w:uiPriority w:val="9"/>
    <w:qFormat/>
    <w:rsid w:val="00875C75"/>
    <w:pPr>
      <w:keepNext/>
      <w:keepLines/>
      <w:spacing w:before="240" w:after="240"/>
      <w:outlineLvl w:val="0"/>
    </w:pPr>
    <w:rPr>
      <w:rFonts w:eastAsiaTheme="majorEastAsia" w:cstheme="majorBidi"/>
      <w:b/>
      <w:color w:val="002060"/>
      <w:sz w:val="36"/>
      <w:szCs w:val="32"/>
    </w:rPr>
  </w:style>
  <w:style w:type="paragraph" w:styleId="Titre2">
    <w:name w:val="heading 2"/>
    <w:basedOn w:val="Normal"/>
    <w:next w:val="Normal"/>
    <w:link w:val="Titre2Car"/>
    <w:uiPriority w:val="9"/>
    <w:unhideWhenUsed/>
    <w:qFormat/>
    <w:pPr>
      <w:keepNext/>
      <w:keepLines/>
      <w:spacing w:before="360" w:after="120"/>
      <w:outlineLvl w:val="1"/>
    </w:pPr>
    <w:rPr>
      <w:rFonts w:eastAsiaTheme="majorEastAsia" w:cstheme="majorBidi"/>
      <w:b/>
      <w:color w:val="002060"/>
      <w:sz w:val="28"/>
      <w:szCs w:val="26"/>
    </w:rPr>
  </w:style>
  <w:style w:type="paragraph" w:styleId="Titre3">
    <w:name w:val="heading 3"/>
    <w:basedOn w:val="Normal"/>
    <w:next w:val="Normal"/>
    <w:link w:val="Titre3Car"/>
    <w:uiPriority w:val="9"/>
    <w:unhideWhenUsed/>
    <w:qFormat/>
    <w:rsid w:val="00A36B05"/>
    <w:pPr>
      <w:keepNext/>
      <w:keepLines/>
      <w:spacing w:before="240" w:after="120"/>
      <w:outlineLvl w:val="2"/>
    </w:pPr>
    <w:rPr>
      <w:rFonts w:eastAsiaTheme="majorEastAsia" w:cstheme="majorBidi"/>
      <w:b/>
      <w:color w:val="1F3763" w:themeColor="accent1" w:themeShade="7F"/>
    </w:rPr>
  </w:style>
  <w:style w:type="paragraph" w:styleId="Titre4">
    <w:name w:val="heading 4"/>
    <w:basedOn w:val="Normal"/>
    <w:next w:val="Normal"/>
    <w:link w:val="Titre4Car"/>
    <w:uiPriority w:val="9"/>
    <w:semiHidden/>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pPr>
      <w:keepNext/>
      <w:keepLines/>
      <w:spacing w:before="80" w:after="40"/>
      <w:outlineLvl w:val="4"/>
    </w:pPr>
    <w:rPr>
      <w:rFonts w:ascii="Arial" w:eastAsia="Arial" w:hAnsi="Arial" w:cs="Arial"/>
      <w:color w:val="2F5496" w:themeColor="accent1" w:themeShade="BF"/>
    </w:rPr>
  </w:style>
  <w:style w:type="paragraph" w:styleId="Titre6">
    <w:name w:val="heading 6"/>
    <w:basedOn w:val="Normal"/>
    <w:next w:val="Normal"/>
    <w:link w:val="Titre6Car"/>
    <w:uiPriority w:val="9"/>
    <w:semiHidden/>
    <w:unhideWhenUsed/>
    <w:qFormat/>
    <w:pPr>
      <w:keepNext/>
      <w:keepLines/>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unhideWhenUsed/>
    <w:qFormat/>
    <w:pPr>
      <w:keepNext/>
      <w:keepLines/>
      <w:spacing w:before="40" w:after="0"/>
      <w:outlineLvl w:val="6"/>
    </w:pPr>
    <w:rPr>
      <w:rFonts w:ascii="Arial" w:eastAsia="Arial" w:hAnsi="Arial" w:cs="Arial"/>
      <w:color w:val="595959" w:themeColor="text1" w:themeTint="A6"/>
    </w:rPr>
  </w:style>
  <w:style w:type="paragraph" w:styleId="Titre8">
    <w:name w:val="heading 8"/>
    <w:basedOn w:val="Normal"/>
    <w:next w:val="Normal"/>
    <w:link w:val="Titre8Car"/>
    <w:uiPriority w:val="9"/>
    <w:unhideWhenUsed/>
    <w:qFormat/>
    <w:pPr>
      <w:keepNext/>
      <w:keepLines/>
      <w:spacing w:after="0"/>
      <w:outlineLvl w:val="7"/>
    </w:pPr>
    <w:rPr>
      <w:rFonts w:ascii="Arial" w:eastAsia="Arial" w:hAnsi="Arial" w:cs="Arial"/>
      <w:i/>
      <w:iCs/>
      <w:color w:val="272727" w:themeColor="text1" w:themeTint="D8"/>
    </w:rPr>
  </w:style>
  <w:style w:type="paragraph" w:styleId="Titre9">
    <w:name w:val="heading 9"/>
    <w:basedOn w:val="Normal"/>
    <w:next w:val="Normal"/>
    <w:link w:val="Titre9Car"/>
    <w:uiPriority w:val="9"/>
    <w:unhideWhenUsed/>
    <w:qFormat/>
    <w:pPr>
      <w:keepNext/>
      <w:keepLines/>
      <w:spacing w:after="0"/>
      <w:outlineLvl w:val="8"/>
    </w:pPr>
    <w:rPr>
      <w:rFonts w:ascii="Arial" w:eastAsia="Arial" w:hAnsi="Arial" w:cs="Arial"/>
      <w:i/>
      <w:iCs/>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sz w:val="20"/>
      <w:szCs w:val="20"/>
      <w:lang w:eastAsia="fr-FR"/>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auNormal"/>
    <w:uiPriority w:val="99"/>
    <w:rPr>
      <w:color w:val="404040"/>
      <w:sz w:val="20"/>
      <w:szCs w:val="20"/>
      <w:lang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rPr>
      <w:color w:val="404040"/>
      <w:sz w:val="20"/>
      <w:szCs w:val="20"/>
      <w:lang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rPr>
      <w:color w:val="404040"/>
      <w:sz w:val="20"/>
      <w:szCs w:val="20"/>
      <w:lang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rPr>
      <w:color w:val="404040"/>
      <w:sz w:val="20"/>
      <w:szCs w:val="20"/>
      <w:lang w:eastAsia="fr-FR"/>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auNormal"/>
    <w:uiPriority w:val="99"/>
    <w:rPr>
      <w:color w:val="404040"/>
      <w:sz w:val="20"/>
      <w:szCs w:val="20"/>
      <w:lang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Heading1Char">
    <w:name w:val="Heading 1 Char"/>
    <w:basedOn w:val="Policepardfaut"/>
    <w:uiPriority w:val="9"/>
    <w:rPr>
      <w:rFonts w:ascii="Arial" w:eastAsia="Arial" w:hAnsi="Arial" w:cs="Arial"/>
      <w:color w:val="2F5496" w:themeColor="accent1" w:themeShade="BF"/>
      <w:sz w:val="40"/>
      <w:szCs w:val="40"/>
    </w:rPr>
  </w:style>
  <w:style w:type="character" w:customStyle="1" w:styleId="Heading2Char">
    <w:name w:val="Heading 2 Char"/>
    <w:basedOn w:val="Policepardfaut"/>
    <w:uiPriority w:val="9"/>
    <w:rPr>
      <w:rFonts w:ascii="Arial" w:eastAsia="Arial" w:hAnsi="Arial" w:cs="Arial"/>
      <w:color w:val="2F5496" w:themeColor="accent1" w:themeShade="BF"/>
      <w:sz w:val="32"/>
      <w:szCs w:val="32"/>
    </w:rPr>
  </w:style>
  <w:style w:type="character" w:customStyle="1" w:styleId="Heading3Char">
    <w:name w:val="Heading 3 Char"/>
    <w:basedOn w:val="Policepardfaut"/>
    <w:uiPriority w:val="9"/>
    <w:rPr>
      <w:rFonts w:ascii="Arial" w:eastAsia="Arial" w:hAnsi="Arial" w:cs="Arial"/>
      <w:color w:val="2F5496" w:themeColor="accent1" w:themeShade="BF"/>
      <w:sz w:val="28"/>
      <w:szCs w:val="28"/>
    </w:rPr>
  </w:style>
  <w:style w:type="character" w:customStyle="1" w:styleId="Heading4Char">
    <w:name w:val="Heading 4 Char"/>
    <w:basedOn w:val="Policepardfaut"/>
    <w:uiPriority w:val="9"/>
    <w:rPr>
      <w:rFonts w:ascii="Arial" w:eastAsia="Arial" w:hAnsi="Arial" w:cs="Arial"/>
      <w:i/>
      <w:iCs/>
      <w:color w:val="2F5496" w:themeColor="accent1" w:themeShade="BF"/>
    </w:rPr>
  </w:style>
  <w:style w:type="character" w:customStyle="1" w:styleId="Titre5Car">
    <w:name w:val="Titre 5 Car"/>
    <w:basedOn w:val="Policepardfaut"/>
    <w:link w:val="Titre5"/>
    <w:uiPriority w:val="9"/>
    <w:rPr>
      <w:rFonts w:ascii="Arial" w:eastAsia="Arial" w:hAnsi="Arial" w:cs="Arial"/>
      <w:color w:val="2F5496" w:themeColor="accent1" w:themeShade="BF"/>
    </w:rPr>
  </w:style>
  <w:style w:type="character" w:customStyle="1" w:styleId="Heading6Char">
    <w:name w:val="Heading 6 Char"/>
    <w:basedOn w:val="Policepardfaut"/>
    <w:uiPriority w:val="9"/>
    <w:rPr>
      <w:rFonts w:ascii="Arial" w:eastAsia="Arial" w:hAnsi="Arial" w:cs="Arial"/>
      <w:i/>
      <w:iCs/>
      <w:color w:val="595959" w:themeColor="text1" w:themeTint="A6"/>
    </w:rPr>
  </w:style>
  <w:style w:type="character" w:customStyle="1" w:styleId="Titre7Car">
    <w:name w:val="Titre 7 Car"/>
    <w:basedOn w:val="Policepardfaut"/>
    <w:link w:val="Titre7"/>
    <w:uiPriority w:val="9"/>
    <w:rPr>
      <w:rFonts w:ascii="Arial" w:eastAsia="Arial" w:hAnsi="Arial" w:cs="Arial"/>
      <w:color w:val="595959" w:themeColor="text1" w:themeTint="A6"/>
    </w:rPr>
  </w:style>
  <w:style w:type="character" w:customStyle="1" w:styleId="Titre8Car">
    <w:name w:val="Titre 8 Car"/>
    <w:basedOn w:val="Policepardfaut"/>
    <w:link w:val="Titre8"/>
    <w:uiPriority w:val="9"/>
    <w:rPr>
      <w:rFonts w:ascii="Arial" w:eastAsia="Arial" w:hAnsi="Arial" w:cs="Arial"/>
      <w:i/>
      <w:iCs/>
      <w:color w:val="272727" w:themeColor="text1" w:themeTint="D8"/>
    </w:rPr>
  </w:style>
  <w:style w:type="character" w:customStyle="1" w:styleId="Titre9Car">
    <w:name w:val="Titre 9 Car"/>
    <w:basedOn w:val="Policepardfaut"/>
    <w:link w:val="Titre9"/>
    <w:uiPriority w:val="9"/>
    <w:rPr>
      <w:rFonts w:ascii="Arial" w:eastAsia="Arial" w:hAnsi="Arial" w:cs="Arial"/>
      <w:i/>
      <w:iCs/>
      <w:color w:val="272727" w:themeColor="text1" w:themeTint="D8"/>
    </w:rPr>
  </w:style>
  <w:style w:type="character" w:customStyle="1" w:styleId="TitleChar">
    <w:name w:val="Title Char"/>
    <w:basedOn w:val="Policepardfaut"/>
    <w:uiPriority w:val="10"/>
    <w:rPr>
      <w:rFonts w:ascii="Arial" w:eastAsia="Arial" w:hAnsi="Arial" w:cs="Arial"/>
      <w:spacing w:val="-10"/>
      <w:sz w:val="56"/>
      <w:szCs w:val="56"/>
    </w:rPr>
  </w:style>
  <w:style w:type="paragraph" w:styleId="Sous-titre">
    <w:name w:val="Subtitle"/>
    <w:basedOn w:val="Normal"/>
    <w:next w:val="Normal"/>
    <w:link w:val="Sous-titreCar"/>
    <w:uiPriority w:val="11"/>
    <w:qFormat/>
    <w:pPr>
      <w:numPr>
        <w:ilvl w:val="1"/>
      </w:numPr>
    </w:pPr>
    <w:rPr>
      <w:color w:val="595959" w:themeColor="text1" w:themeTint="A6"/>
      <w:spacing w:val="15"/>
      <w:sz w:val="28"/>
      <w:szCs w:val="28"/>
    </w:rPr>
  </w:style>
  <w:style w:type="character" w:customStyle="1" w:styleId="Sous-titreCar">
    <w:name w:val="Sous-titre Car"/>
    <w:basedOn w:val="Policepardfaut"/>
    <w:link w:val="Sous-titre"/>
    <w:uiPriority w:val="11"/>
    <w:rPr>
      <w:color w:val="595959" w:themeColor="text1" w:themeTint="A6"/>
      <w:spacing w:val="15"/>
      <w:sz w:val="28"/>
      <w:szCs w:val="28"/>
    </w:rPr>
  </w:style>
  <w:style w:type="paragraph" w:styleId="Citation">
    <w:name w:val="Quote"/>
    <w:basedOn w:val="Normal"/>
    <w:next w:val="Normal"/>
    <w:link w:val="CitationCar"/>
    <w:uiPriority w:val="29"/>
    <w:qFormat/>
    <w:pPr>
      <w:spacing w:before="160"/>
      <w:jc w:val="center"/>
    </w:pPr>
    <w:rPr>
      <w:i/>
      <w:iCs/>
      <w:color w:val="404040" w:themeColor="text1" w:themeTint="BF"/>
    </w:rPr>
  </w:style>
  <w:style w:type="character" w:customStyle="1" w:styleId="CitationCar">
    <w:name w:val="Citation Car"/>
    <w:basedOn w:val="Policepardfaut"/>
    <w:link w:val="Citation"/>
    <w:uiPriority w:val="29"/>
    <w:rPr>
      <w:i/>
      <w:iCs/>
      <w:color w:val="404040" w:themeColor="text1" w:themeTint="BF"/>
    </w:rPr>
  </w:style>
  <w:style w:type="character" w:styleId="Accentuationintense">
    <w:name w:val="Intense Emphasis"/>
    <w:basedOn w:val="Policepardfaut"/>
    <w:uiPriority w:val="21"/>
    <w:qFormat/>
    <w:rPr>
      <w:i/>
      <w:iCs/>
      <w:color w:val="2F5496" w:themeColor="accent1" w:themeShade="BF"/>
    </w:rPr>
  </w:style>
  <w:style w:type="paragraph" w:styleId="Citationintense">
    <w:name w:val="Intense Quote"/>
    <w:basedOn w:val="Normal"/>
    <w:next w:val="Normal"/>
    <w:link w:val="CitationintenseC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Pr>
      <w:i/>
      <w:iCs/>
      <w:color w:val="2F5496" w:themeColor="accent1" w:themeShade="BF"/>
    </w:rPr>
  </w:style>
  <w:style w:type="character" w:styleId="Rfrenceintense">
    <w:name w:val="Intense Reference"/>
    <w:basedOn w:val="Policepardfaut"/>
    <w:uiPriority w:val="32"/>
    <w:qFormat/>
    <w:rPr>
      <w:b/>
      <w:bCs/>
      <w:smallCaps/>
      <w:color w:val="2F5496" w:themeColor="accent1" w:themeShade="BF"/>
      <w:spacing w:val="5"/>
    </w:rPr>
  </w:style>
  <w:style w:type="paragraph" w:styleId="Sansinterligne">
    <w:name w:val="No Spacing"/>
    <w:basedOn w:val="Normal"/>
    <w:uiPriority w:val="1"/>
    <w:qFormat/>
    <w:pPr>
      <w:spacing w:after="0" w:line="240" w:lineRule="auto"/>
    </w:pPr>
  </w:style>
  <w:style w:type="character" w:styleId="Accentuationlgre">
    <w:name w:val="Subtle Emphasis"/>
    <w:basedOn w:val="Policepardfaut"/>
    <w:uiPriority w:val="19"/>
    <w:qFormat/>
    <w:rPr>
      <w:i/>
      <w:iCs/>
      <w:color w:val="404040" w:themeColor="text1" w:themeTint="BF"/>
    </w:rPr>
  </w:style>
  <w:style w:type="character" w:styleId="Accentuation">
    <w:name w:val="Emphasis"/>
    <w:basedOn w:val="Policepardfaut"/>
    <w:uiPriority w:val="20"/>
    <w:qFormat/>
    <w:rPr>
      <w:i/>
      <w:iCs/>
    </w:rPr>
  </w:style>
  <w:style w:type="character" w:styleId="lev">
    <w:name w:val="Strong"/>
    <w:basedOn w:val="Policepardfaut"/>
    <w:uiPriority w:val="22"/>
    <w:qFormat/>
    <w:rPr>
      <w:b/>
      <w:bCs/>
    </w:rPr>
  </w:style>
  <w:style w:type="character" w:styleId="Rfrencelgre">
    <w:name w:val="Subtle Reference"/>
    <w:basedOn w:val="Policepardfaut"/>
    <w:uiPriority w:val="31"/>
    <w:qFormat/>
    <w:rPr>
      <w:smallCaps/>
      <w:color w:val="5A5A5A" w:themeColor="text1" w:themeTint="A5"/>
    </w:rPr>
  </w:style>
  <w:style w:type="character" w:styleId="Titredulivre">
    <w:name w:val="Book Title"/>
    <w:basedOn w:val="Policepardfaut"/>
    <w:uiPriority w:val="33"/>
    <w:qFormat/>
    <w:rPr>
      <w:b/>
      <w:bCs/>
      <w:i/>
      <w:iCs/>
      <w:spacing w:val="5"/>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unhideWhenUsed/>
    <w:qFormat/>
    <w:pPr>
      <w:spacing w:after="200" w:line="240" w:lineRule="auto"/>
    </w:pPr>
    <w:rPr>
      <w:i/>
      <w:iCs/>
      <w:color w:val="44546A" w:themeColor="text2"/>
      <w:sz w:val="18"/>
      <w:szCs w:val="18"/>
    </w:rPr>
  </w:style>
  <w:style w:type="paragraph" w:styleId="Notedebasdepage">
    <w:name w:val="footnote text"/>
    <w:basedOn w:val="Normal"/>
    <w:link w:val="NotedebasdepageCar"/>
    <w:uiPriority w:val="99"/>
    <w:semiHidden/>
    <w:unhideWhenUsed/>
    <w:pPr>
      <w:spacing w:after="0" w:line="240" w:lineRule="auto"/>
    </w:pPr>
    <w:rPr>
      <w:sz w:val="20"/>
      <w:szCs w:val="20"/>
    </w:rPr>
  </w:style>
  <w:style w:type="character" w:customStyle="1" w:styleId="NotedebasdepageCar">
    <w:name w:val="Note de bas de page Car"/>
    <w:basedOn w:val="Policepardfaut"/>
    <w:link w:val="Notedebasdepage"/>
    <w:uiPriority w:val="99"/>
    <w:semiHidden/>
    <w:rPr>
      <w:sz w:val="20"/>
      <w:szCs w:val="20"/>
    </w:rPr>
  </w:style>
  <w:style w:type="character" w:styleId="Appelnotedebasdep">
    <w:name w:val="footnote reference"/>
    <w:basedOn w:val="Policepardfaut"/>
    <w:uiPriority w:val="99"/>
    <w:semiHidden/>
    <w:unhideWhenUsed/>
    <w:rPr>
      <w:vertAlign w:val="superscript"/>
    </w:rPr>
  </w:style>
  <w:style w:type="paragraph" w:styleId="Notedefin">
    <w:name w:val="endnote text"/>
    <w:basedOn w:val="Normal"/>
    <w:link w:val="NotedefinCar"/>
    <w:uiPriority w:val="99"/>
    <w:semiHidden/>
    <w:unhideWhenUsed/>
    <w:pPr>
      <w:spacing w:after="0" w:line="240" w:lineRule="auto"/>
    </w:pPr>
    <w:rPr>
      <w:sz w:val="20"/>
      <w:szCs w:val="20"/>
    </w:rPr>
  </w:style>
  <w:style w:type="character" w:customStyle="1" w:styleId="NotedefinCar">
    <w:name w:val="Note de fin Car"/>
    <w:basedOn w:val="Policepardfaut"/>
    <w:link w:val="Notedefin"/>
    <w:uiPriority w:val="99"/>
    <w:semiHidden/>
    <w:rPr>
      <w:sz w:val="20"/>
      <w:szCs w:val="20"/>
    </w:rPr>
  </w:style>
  <w:style w:type="character" w:styleId="Appeldenotedefin">
    <w:name w:val="endnote reference"/>
    <w:basedOn w:val="Policepardfaut"/>
    <w:uiPriority w:val="99"/>
    <w:semiHidden/>
    <w:unhideWhenUsed/>
    <w:rPr>
      <w:vertAlign w:val="superscript"/>
    </w:rPr>
  </w:style>
  <w:style w:type="paragraph" w:styleId="TM3">
    <w:name w:val="toc 3"/>
    <w:basedOn w:val="Normal"/>
    <w:next w:val="Normal"/>
    <w:uiPriority w:val="39"/>
    <w:unhideWhenUsed/>
    <w:pPr>
      <w:spacing w:after="100"/>
      <w:ind w:left="440"/>
    </w:pPr>
  </w:style>
  <w:style w:type="paragraph" w:styleId="TM4">
    <w:name w:val="toc 4"/>
    <w:basedOn w:val="Normal"/>
    <w:next w:val="Normal"/>
    <w:uiPriority w:val="39"/>
    <w:unhideWhenUsed/>
    <w:pPr>
      <w:spacing w:after="100"/>
      <w:ind w:left="660"/>
    </w:pPr>
  </w:style>
  <w:style w:type="paragraph" w:styleId="TM5">
    <w:name w:val="toc 5"/>
    <w:basedOn w:val="Normal"/>
    <w:next w:val="Normal"/>
    <w:uiPriority w:val="39"/>
    <w:unhideWhenUsed/>
    <w:pPr>
      <w:spacing w:after="100"/>
      <w:ind w:left="880"/>
    </w:pPr>
  </w:style>
  <w:style w:type="paragraph" w:styleId="TM6">
    <w:name w:val="toc 6"/>
    <w:basedOn w:val="Normal"/>
    <w:next w:val="Normal"/>
    <w:uiPriority w:val="39"/>
    <w:unhideWhenUsed/>
    <w:pPr>
      <w:spacing w:after="100"/>
      <w:ind w:left="1100"/>
    </w:pPr>
  </w:style>
  <w:style w:type="paragraph" w:styleId="TM7">
    <w:name w:val="toc 7"/>
    <w:basedOn w:val="Normal"/>
    <w:next w:val="Normal"/>
    <w:uiPriority w:val="39"/>
    <w:unhideWhenUsed/>
    <w:pPr>
      <w:spacing w:after="100"/>
      <w:ind w:left="1320"/>
    </w:pPr>
  </w:style>
  <w:style w:type="paragraph" w:styleId="TM8">
    <w:name w:val="toc 8"/>
    <w:basedOn w:val="Normal"/>
    <w:next w:val="Normal"/>
    <w:uiPriority w:val="39"/>
    <w:unhideWhenUsed/>
    <w:pPr>
      <w:spacing w:after="100"/>
      <w:ind w:left="1540"/>
    </w:pPr>
  </w:style>
  <w:style w:type="paragraph" w:styleId="TM9">
    <w:name w:val="toc 9"/>
    <w:basedOn w:val="Normal"/>
    <w:next w:val="Normal"/>
    <w:uiPriority w:val="39"/>
    <w:unhideWhenUsed/>
    <w:pPr>
      <w:spacing w:after="100"/>
      <w:ind w:left="1760"/>
    </w:pPr>
  </w:style>
  <w:style w:type="character" w:styleId="Textedelespacerserv">
    <w:name w:val="Placeholder Text"/>
    <w:basedOn w:val="Policepardfaut"/>
    <w:uiPriority w:val="99"/>
    <w:semiHidden/>
    <w:rPr>
      <w:color w:val="666666"/>
    </w:rPr>
  </w:style>
  <w:style w:type="paragraph" w:styleId="En-ttedetabledesmatires">
    <w:name w:val="TOC Heading"/>
    <w:uiPriority w:val="39"/>
    <w:unhideWhenUsed/>
  </w:style>
  <w:style w:type="paragraph" w:styleId="Tabledesillustrations">
    <w:name w:val="table of figures"/>
    <w:basedOn w:val="Normal"/>
    <w:next w:val="Normal"/>
    <w:uiPriority w:val="99"/>
    <w:unhideWhenUsed/>
    <w:pPr>
      <w:spacing w:after="0"/>
    </w:pPr>
  </w:style>
  <w:style w:type="paragraph" w:customStyle="1" w:styleId="Titredechapitre">
    <w:name w:val="Titre de chapitre"/>
    <w:basedOn w:val="Normal"/>
    <w:qFormat/>
    <w:pPr>
      <w:spacing w:after="480"/>
      <w:outlineLvl w:val="0"/>
    </w:pPr>
    <w:rPr>
      <w:rFonts w:ascii="Calibri" w:hAnsi="Calibri" w:cs="Calibri"/>
      <w:b/>
      <w:bCs/>
      <w:sz w:val="40"/>
      <w:szCs w:val="40"/>
    </w:rPr>
  </w:style>
  <w:style w:type="paragraph" w:customStyle="1" w:styleId="Titre1ouvrage">
    <w:name w:val="Titre 1 ouvrage"/>
    <w:basedOn w:val="Titre1"/>
    <w:qFormat/>
    <w:pPr>
      <w:outlineLvl w:val="1"/>
    </w:pPr>
    <w:rPr>
      <w:rFonts w:ascii="Calibri" w:hAnsi="Calibri" w:cs="Calibri"/>
      <w:b w:val="0"/>
      <w:bCs/>
      <w:sz w:val="28"/>
      <w:szCs w:val="28"/>
    </w:rPr>
  </w:style>
  <w:style w:type="character" w:customStyle="1" w:styleId="Titre1Car">
    <w:name w:val="Titre 1 Car"/>
    <w:basedOn w:val="Policepardfaut"/>
    <w:link w:val="Titre1"/>
    <w:uiPriority w:val="9"/>
    <w:rsid w:val="00875C75"/>
    <w:rPr>
      <w:rFonts w:ascii="Verdana" w:eastAsiaTheme="majorEastAsia" w:hAnsi="Verdana" w:cstheme="majorBidi"/>
      <w:b/>
      <w:color w:val="002060"/>
      <w:sz w:val="36"/>
      <w:szCs w:val="32"/>
    </w:rPr>
  </w:style>
  <w:style w:type="paragraph" w:styleId="Titre">
    <w:name w:val="Title"/>
    <w:basedOn w:val="Normal"/>
    <w:next w:val="Normal"/>
    <w:link w:val="TitreCar"/>
    <w:uiPriority w:val="10"/>
    <w:qFormat/>
    <w:rsid w:val="00D377C9"/>
    <w:pPr>
      <w:spacing w:after="600"/>
      <w:contextualSpacing/>
    </w:pPr>
    <w:rPr>
      <w:rFonts w:eastAsiaTheme="majorEastAsia" w:cstheme="minorHAnsi"/>
      <w:b/>
      <w:color w:val="002060"/>
      <w:spacing w:val="-10"/>
      <w:sz w:val="40"/>
    </w:rPr>
  </w:style>
  <w:style w:type="character" w:customStyle="1" w:styleId="TitreCar">
    <w:name w:val="Titre Car"/>
    <w:basedOn w:val="Policepardfaut"/>
    <w:link w:val="Titre"/>
    <w:uiPriority w:val="10"/>
    <w:rsid w:val="00D377C9"/>
    <w:rPr>
      <w:rFonts w:ascii="Verdana" w:eastAsiaTheme="majorEastAsia" w:hAnsi="Verdana" w:cstheme="minorHAnsi"/>
      <w:b/>
      <w:color w:val="002060"/>
      <w:spacing w:val="-10"/>
      <w:sz w:val="40"/>
    </w:rPr>
  </w:style>
  <w:style w:type="character" w:customStyle="1" w:styleId="Titre2Car">
    <w:name w:val="Titre 2 Car"/>
    <w:basedOn w:val="Policepardfaut"/>
    <w:link w:val="Titre2"/>
    <w:uiPriority w:val="9"/>
    <w:rPr>
      <w:rFonts w:ascii="Verdana" w:eastAsiaTheme="majorEastAsia" w:hAnsi="Verdana" w:cstheme="majorBidi"/>
      <w:b/>
      <w:color w:val="002060"/>
      <w:sz w:val="28"/>
      <w:szCs w:val="26"/>
    </w:rPr>
  </w:style>
  <w:style w:type="paragraph" w:customStyle="1" w:styleId="ReferencesbiblioNewsletter">
    <w:name w:val="References_biblio_Newsletter"/>
    <w:basedOn w:val="Normal"/>
    <w:qFormat/>
    <w:pPr>
      <w:ind w:left="567" w:hanging="567"/>
    </w:pPr>
  </w:style>
  <w:style w:type="character" w:styleId="Lienhypertexte">
    <w:name w:val="Hyperlink"/>
    <w:basedOn w:val="Policepardfaut"/>
    <w:uiPriority w:val="99"/>
    <w:unhideWhenUsed/>
    <w:rPr>
      <w:color w:val="2F5496" w:themeColor="accent1" w:themeShade="BF"/>
      <w:u w:val="single"/>
    </w:rPr>
  </w:style>
  <w:style w:type="character" w:customStyle="1" w:styleId="Mentionnonrsolue1">
    <w:name w:val="Mention non résolue1"/>
    <w:basedOn w:val="Policepardfaut"/>
    <w:uiPriority w:val="99"/>
    <w:semiHidden/>
    <w:unhideWhenUsed/>
    <w:rPr>
      <w:color w:val="605E5C"/>
      <w:shd w:val="clear" w:color="auto" w:fill="E1DFDD"/>
    </w:rPr>
  </w:style>
  <w:style w:type="paragraph" w:styleId="En-tte">
    <w:name w:val="header"/>
    <w:basedOn w:val="Normal"/>
    <w:link w:val="En-tteCar"/>
    <w:uiPriority w:val="99"/>
    <w:unhideWhenUsed/>
    <w:pPr>
      <w:tabs>
        <w:tab w:val="center" w:pos="4536"/>
        <w:tab w:val="right" w:pos="9072"/>
      </w:tabs>
      <w:spacing w:after="0"/>
    </w:pPr>
  </w:style>
  <w:style w:type="character" w:customStyle="1" w:styleId="En-tteCar">
    <w:name w:val="En-tête Car"/>
    <w:basedOn w:val="Policepardfaut"/>
    <w:link w:val="En-tte"/>
    <w:uiPriority w:val="99"/>
    <w:rPr>
      <w:rFonts w:ascii="Verdana" w:hAnsi="Verdana"/>
    </w:rPr>
  </w:style>
  <w:style w:type="paragraph" w:styleId="Pieddepage">
    <w:name w:val="footer"/>
    <w:basedOn w:val="Normal"/>
    <w:link w:val="PieddepageCar"/>
    <w:uiPriority w:val="99"/>
    <w:unhideWhenUsed/>
    <w:pPr>
      <w:tabs>
        <w:tab w:val="center" w:pos="4536"/>
        <w:tab w:val="right" w:pos="9072"/>
      </w:tabs>
      <w:spacing w:after="0"/>
    </w:pPr>
  </w:style>
  <w:style w:type="character" w:customStyle="1" w:styleId="PieddepageCar">
    <w:name w:val="Pied de page Car"/>
    <w:basedOn w:val="Policepardfaut"/>
    <w:link w:val="Pieddepage"/>
    <w:uiPriority w:val="99"/>
    <w:rPr>
      <w:rFonts w:ascii="Verdana" w:hAnsi="Verdana"/>
    </w:rPr>
  </w:style>
  <w:style w:type="paragraph" w:styleId="TM1">
    <w:name w:val="toc 1"/>
    <w:basedOn w:val="Normal"/>
    <w:next w:val="Normal"/>
    <w:uiPriority w:val="39"/>
    <w:unhideWhenUsed/>
    <w:pPr>
      <w:tabs>
        <w:tab w:val="right" w:leader="dot" w:pos="9062"/>
      </w:tabs>
      <w:spacing w:after="240"/>
    </w:pPr>
  </w:style>
  <w:style w:type="paragraph" w:styleId="TM2">
    <w:name w:val="toc 2"/>
    <w:basedOn w:val="Normal"/>
    <w:next w:val="Normal"/>
    <w:uiPriority w:val="39"/>
    <w:unhideWhenUsed/>
    <w:pPr>
      <w:spacing w:after="100"/>
      <w:ind w:left="240"/>
    </w:pPr>
  </w:style>
  <w:style w:type="character" w:customStyle="1" w:styleId="Titre3Car">
    <w:name w:val="Titre 3 Car"/>
    <w:basedOn w:val="Policepardfaut"/>
    <w:link w:val="Titre3"/>
    <w:uiPriority w:val="9"/>
    <w:rsid w:val="00A36B05"/>
    <w:rPr>
      <w:rFonts w:ascii="Verdana" w:eastAsiaTheme="majorEastAsia" w:hAnsi="Verdana" w:cstheme="majorBidi"/>
      <w:b/>
      <w:color w:val="1F3763" w:themeColor="accent1" w:themeShade="7F"/>
    </w:rPr>
  </w:style>
  <w:style w:type="character" w:styleId="Mentionnonrsolue">
    <w:name w:val="Unresolved Mention"/>
    <w:basedOn w:val="Policepardfaut"/>
    <w:uiPriority w:val="99"/>
    <w:semiHidden/>
    <w:unhideWhenUsed/>
    <w:rPr>
      <w:color w:val="605E5C"/>
      <w:shd w:val="clear" w:color="auto" w:fill="E1DFDD"/>
    </w:rPr>
  </w:style>
  <w:style w:type="paragraph" w:styleId="Paragraphedeliste">
    <w:name w:val="List Paragraph"/>
    <w:basedOn w:val="Normal"/>
    <w:link w:val="ParagraphedelisteCar"/>
    <w:uiPriority w:val="34"/>
    <w:qFormat/>
    <w:pPr>
      <w:spacing w:after="160" w:line="259" w:lineRule="auto"/>
      <w:ind w:left="720"/>
      <w:contextualSpacing/>
    </w:pPr>
    <w:rPr>
      <w:rFonts w:asciiTheme="minorHAnsi" w:hAnsiTheme="minorHAnsi"/>
      <w:sz w:val="20"/>
      <w:szCs w:val="22"/>
      <w14:ligatures w14:val="standardContextual"/>
    </w:rPr>
  </w:style>
  <w:style w:type="character" w:customStyle="1" w:styleId="ParagraphedelisteCar">
    <w:name w:val="Paragraphe de liste Car"/>
    <w:link w:val="Paragraphedeliste"/>
    <w:uiPriority w:val="34"/>
    <w:qFormat/>
    <w:rPr>
      <w:sz w:val="20"/>
      <w:szCs w:val="22"/>
      <w14:ligatures w14:val="standardContextual"/>
    </w:rPr>
  </w:style>
  <w:style w:type="character" w:styleId="Lienhypertextesuivivisit">
    <w:name w:val="FollowedHyperlink"/>
    <w:basedOn w:val="Policepardfaut"/>
    <w:uiPriority w:val="99"/>
    <w:semiHidden/>
    <w:unhideWhenUsed/>
    <w:rPr>
      <w:color w:val="954F72" w:themeColor="followedHyperlink"/>
      <w:u w:val="single"/>
    </w:rPr>
  </w:style>
  <w:style w:type="character" w:customStyle="1" w:styleId="Titre4Car">
    <w:name w:val="Titre 4 Car"/>
    <w:basedOn w:val="Policepardfaut"/>
    <w:link w:val="Titre4"/>
    <w:uiPriority w:val="9"/>
    <w:semiHidden/>
    <w:rPr>
      <w:rFonts w:asciiTheme="majorHAnsi" w:eastAsiaTheme="majorEastAsia" w:hAnsiTheme="majorHAnsi" w:cstheme="majorBidi"/>
      <w:i/>
      <w:iCs/>
      <w:color w:val="2F5496" w:themeColor="accent1" w:themeShade="BF"/>
    </w:rPr>
  </w:style>
  <w:style w:type="character" w:customStyle="1" w:styleId="Titre6Car">
    <w:name w:val="Titre 6 Car"/>
    <w:basedOn w:val="Policepardfaut"/>
    <w:link w:val="Titre6"/>
    <w:uiPriority w:val="9"/>
    <w:semiHidden/>
    <w:rPr>
      <w:rFonts w:asciiTheme="majorHAnsi" w:eastAsiaTheme="majorEastAsia" w:hAnsiTheme="majorHAnsi" w:cstheme="majorBidi"/>
      <w:color w:val="1F3763" w:themeColor="accent1" w:themeShade="7F"/>
    </w:rPr>
  </w:style>
  <w:style w:type="paragraph" w:styleId="NormalWeb">
    <w:name w:val="Normal (Web)"/>
    <w:basedOn w:val="Normal"/>
    <w:uiPriority w:val="99"/>
    <w:unhideWhenUsed/>
    <w:rsid w:val="001F1C57"/>
    <w:pPr>
      <w:spacing w:before="100" w:beforeAutospacing="1" w:after="100" w:afterAutospacing="1" w:line="240" w:lineRule="auto"/>
    </w:pPr>
    <w:rPr>
      <w:rFonts w:ascii="Times New Roman" w:eastAsia="Times New Roman" w:hAnsi="Times New Roman" w:cs="Times New Roman"/>
      <w:lang w:eastAsia="fr-FR"/>
    </w:rPr>
  </w:style>
  <w:style w:type="paragraph" w:styleId="Rvision">
    <w:name w:val="Revision"/>
    <w:hidden/>
    <w:uiPriority w:val="99"/>
    <w:semiHidden/>
    <w:rsid w:val="00D75374"/>
    <w:rPr>
      <w:rFonts w:ascii="Verdana" w:hAnsi="Verdana"/>
    </w:rPr>
  </w:style>
  <w:style w:type="numbering" w:customStyle="1" w:styleId="Listeactuelle1">
    <w:name w:val="Liste actuelle1"/>
    <w:uiPriority w:val="99"/>
    <w:rsid w:val="00A67716"/>
    <w:pPr>
      <w:numPr>
        <w:numId w:val="37"/>
      </w:numPr>
    </w:pPr>
  </w:style>
  <w:style w:type="character" w:styleId="Marquedecommentaire">
    <w:name w:val="annotation reference"/>
    <w:basedOn w:val="Policepardfaut"/>
    <w:uiPriority w:val="99"/>
    <w:semiHidden/>
    <w:unhideWhenUsed/>
    <w:rsid w:val="000151AC"/>
    <w:rPr>
      <w:sz w:val="16"/>
      <w:szCs w:val="16"/>
    </w:rPr>
  </w:style>
  <w:style w:type="paragraph" w:styleId="Commentaire">
    <w:name w:val="annotation text"/>
    <w:basedOn w:val="Normal"/>
    <w:link w:val="CommentaireCar"/>
    <w:uiPriority w:val="99"/>
    <w:semiHidden/>
    <w:unhideWhenUsed/>
    <w:rsid w:val="000151AC"/>
    <w:pPr>
      <w:spacing w:line="240" w:lineRule="auto"/>
    </w:pPr>
    <w:rPr>
      <w:sz w:val="20"/>
      <w:szCs w:val="20"/>
    </w:rPr>
  </w:style>
  <w:style w:type="character" w:customStyle="1" w:styleId="CommentaireCar">
    <w:name w:val="Commentaire Car"/>
    <w:basedOn w:val="Policepardfaut"/>
    <w:link w:val="Commentaire"/>
    <w:uiPriority w:val="99"/>
    <w:semiHidden/>
    <w:rsid w:val="000151AC"/>
    <w:rPr>
      <w:rFonts w:ascii="Verdana" w:hAnsi="Verdana"/>
      <w:sz w:val="20"/>
      <w:szCs w:val="20"/>
    </w:rPr>
  </w:style>
  <w:style w:type="paragraph" w:styleId="Objetducommentaire">
    <w:name w:val="annotation subject"/>
    <w:basedOn w:val="Commentaire"/>
    <w:next w:val="Commentaire"/>
    <w:link w:val="ObjetducommentaireCar"/>
    <w:uiPriority w:val="99"/>
    <w:semiHidden/>
    <w:unhideWhenUsed/>
    <w:rsid w:val="000151AC"/>
    <w:rPr>
      <w:b/>
      <w:bCs/>
    </w:rPr>
  </w:style>
  <w:style w:type="character" w:customStyle="1" w:styleId="ObjetducommentaireCar">
    <w:name w:val="Objet du commentaire Car"/>
    <w:basedOn w:val="CommentaireCar"/>
    <w:link w:val="Objetducommentaire"/>
    <w:uiPriority w:val="99"/>
    <w:semiHidden/>
    <w:rsid w:val="000151AC"/>
    <w:rPr>
      <w:rFonts w:ascii="Verdana" w:hAnsi="Verdan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443612">
      <w:bodyDiv w:val="1"/>
      <w:marLeft w:val="0"/>
      <w:marRight w:val="0"/>
      <w:marTop w:val="0"/>
      <w:marBottom w:val="0"/>
      <w:divBdr>
        <w:top w:val="none" w:sz="0" w:space="0" w:color="auto"/>
        <w:left w:val="none" w:sz="0" w:space="0" w:color="auto"/>
        <w:bottom w:val="none" w:sz="0" w:space="0" w:color="auto"/>
        <w:right w:val="none" w:sz="0" w:space="0" w:color="auto"/>
      </w:divBdr>
      <w:divsChild>
        <w:div w:id="118913157">
          <w:marLeft w:val="0"/>
          <w:marRight w:val="0"/>
          <w:marTop w:val="0"/>
          <w:marBottom w:val="0"/>
          <w:divBdr>
            <w:top w:val="none" w:sz="0" w:space="0" w:color="auto"/>
            <w:left w:val="none" w:sz="0" w:space="0" w:color="auto"/>
            <w:bottom w:val="none" w:sz="0" w:space="0" w:color="auto"/>
            <w:right w:val="none" w:sz="0" w:space="0" w:color="auto"/>
          </w:divBdr>
          <w:divsChild>
            <w:div w:id="1362319892">
              <w:marLeft w:val="0"/>
              <w:marRight w:val="0"/>
              <w:marTop w:val="0"/>
              <w:marBottom w:val="0"/>
              <w:divBdr>
                <w:top w:val="none" w:sz="0" w:space="0" w:color="auto"/>
                <w:left w:val="none" w:sz="0" w:space="0" w:color="auto"/>
                <w:bottom w:val="none" w:sz="0" w:space="0" w:color="auto"/>
                <w:right w:val="none" w:sz="0" w:space="0" w:color="auto"/>
              </w:divBdr>
              <w:divsChild>
                <w:div w:id="1880628515">
                  <w:marLeft w:val="0"/>
                  <w:marRight w:val="0"/>
                  <w:marTop w:val="0"/>
                  <w:marBottom w:val="0"/>
                  <w:divBdr>
                    <w:top w:val="none" w:sz="0" w:space="0" w:color="auto"/>
                    <w:left w:val="none" w:sz="0" w:space="0" w:color="auto"/>
                    <w:bottom w:val="none" w:sz="0" w:space="0" w:color="auto"/>
                    <w:right w:val="none" w:sz="0" w:space="0" w:color="auto"/>
                  </w:divBdr>
                  <w:divsChild>
                    <w:div w:id="1091508992">
                      <w:marLeft w:val="0"/>
                      <w:marRight w:val="0"/>
                      <w:marTop w:val="0"/>
                      <w:marBottom w:val="0"/>
                      <w:divBdr>
                        <w:top w:val="none" w:sz="0" w:space="0" w:color="auto"/>
                        <w:left w:val="none" w:sz="0" w:space="0" w:color="auto"/>
                        <w:bottom w:val="none" w:sz="0" w:space="0" w:color="auto"/>
                        <w:right w:val="none" w:sz="0" w:space="0" w:color="auto"/>
                      </w:divBdr>
                      <w:divsChild>
                        <w:div w:id="130989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5998">
              <w:marLeft w:val="0"/>
              <w:marRight w:val="0"/>
              <w:marTop w:val="0"/>
              <w:marBottom w:val="0"/>
              <w:divBdr>
                <w:top w:val="none" w:sz="0" w:space="0" w:color="auto"/>
                <w:left w:val="none" w:sz="0" w:space="0" w:color="auto"/>
                <w:bottom w:val="none" w:sz="0" w:space="0" w:color="auto"/>
                <w:right w:val="none" w:sz="0" w:space="0" w:color="auto"/>
              </w:divBdr>
              <w:divsChild>
                <w:div w:id="1048334821">
                  <w:marLeft w:val="0"/>
                  <w:marRight w:val="0"/>
                  <w:marTop w:val="75"/>
                  <w:marBottom w:val="0"/>
                  <w:divBdr>
                    <w:top w:val="none" w:sz="0" w:space="0" w:color="auto"/>
                    <w:left w:val="none" w:sz="0" w:space="0" w:color="auto"/>
                    <w:bottom w:val="none" w:sz="0" w:space="0" w:color="auto"/>
                    <w:right w:val="none" w:sz="0" w:space="0" w:color="auto"/>
                  </w:divBdr>
                  <w:divsChild>
                    <w:div w:id="178663245">
                      <w:marLeft w:val="0"/>
                      <w:marRight w:val="0"/>
                      <w:marTop w:val="0"/>
                      <w:marBottom w:val="0"/>
                      <w:divBdr>
                        <w:top w:val="none" w:sz="0" w:space="0" w:color="auto"/>
                        <w:left w:val="none" w:sz="0" w:space="0" w:color="auto"/>
                        <w:bottom w:val="none" w:sz="0" w:space="0" w:color="auto"/>
                        <w:right w:val="none" w:sz="0" w:space="0" w:color="auto"/>
                      </w:divBdr>
                      <w:divsChild>
                        <w:div w:id="617570841">
                          <w:marLeft w:val="0"/>
                          <w:marRight w:val="0"/>
                          <w:marTop w:val="0"/>
                          <w:marBottom w:val="0"/>
                          <w:divBdr>
                            <w:top w:val="none" w:sz="0" w:space="0" w:color="auto"/>
                            <w:left w:val="none" w:sz="0" w:space="0" w:color="auto"/>
                            <w:bottom w:val="none" w:sz="0" w:space="0" w:color="auto"/>
                            <w:right w:val="none" w:sz="0" w:space="0" w:color="auto"/>
                          </w:divBdr>
                          <w:divsChild>
                            <w:div w:id="1767575197">
                              <w:marLeft w:val="0"/>
                              <w:marRight w:val="0"/>
                              <w:marTop w:val="0"/>
                              <w:marBottom w:val="0"/>
                              <w:divBdr>
                                <w:top w:val="none" w:sz="0" w:space="0" w:color="auto"/>
                                <w:left w:val="none" w:sz="0" w:space="0" w:color="auto"/>
                                <w:bottom w:val="none" w:sz="0" w:space="0" w:color="auto"/>
                                <w:right w:val="none" w:sz="0" w:space="0" w:color="auto"/>
                              </w:divBdr>
                              <w:divsChild>
                                <w:div w:id="155148935">
                                  <w:marLeft w:val="0"/>
                                  <w:marRight w:val="0"/>
                                  <w:marTop w:val="0"/>
                                  <w:marBottom w:val="0"/>
                                  <w:divBdr>
                                    <w:top w:val="none" w:sz="0" w:space="0" w:color="auto"/>
                                    <w:left w:val="none" w:sz="0" w:space="0" w:color="auto"/>
                                    <w:bottom w:val="none" w:sz="0" w:space="0" w:color="auto"/>
                                    <w:right w:val="none" w:sz="0" w:space="0" w:color="auto"/>
                                  </w:divBdr>
                                  <w:divsChild>
                                    <w:div w:id="167722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1893781">
          <w:marLeft w:val="0"/>
          <w:marRight w:val="0"/>
          <w:marTop w:val="0"/>
          <w:marBottom w:val="450"/>
          <w:divBdr>
            <w:top w:val="none" w:sz="0" w:space="0" w:color="auto"/>
            <w:left w:val="none" w:sz="0" w:space="0" w:color="auto"/>
            <w:bottom w:val="none" w:sz="0" w:space="0" w:color="auto"/>
            <w:right w:val="none" w:sz="0" w:space="0" w:color="auto"/>
          </w:divBdr>
          <w:divsChild>
            <w:div w:id="979774570">
              <w:marLeft w:val="0"/>
              <w:marRight w:val="0"/>
              <w:marTop w:val="0"/>
              <w:marBottom w:val="0"/>
              <w:divBdr>
                <w:top w:val="none" w:sz="0" w:space="0" w:color="auto"/>
                <w:left w:val="none" w:sz="0" w:space="0" w:color="auto"/>
                <w:bottom w:val="none" w:sz="0" w:space="0" w:color="auto"/>
                <w:right w:val="none" w:sz="0" w:space="0" w:color="auto"/>
              </w:divBdr>
              <w:divsChild>
                <w:div w:id="1557669769">
                  <w:marLeft w:val="0"/>
                  <w:marRight w:val="0"/>
                  <w:marTop w:val="0"/>
                  <w:marBottom w:val="0"/>
                  <w:divBdr>
                    <w:top w:val="none" w:sz="0" w:space="0" w:color="auto"/>
                    <w:left w:val="none" w:sz="0" w:space="0" w:color="auto"/>
                    <w:bottom w:val="none" w:sz="0" w:space="0" w:color="auto"/>
                    <w:right w:val="none" w:sz="0" w:space="0" w:color="auto"/>
                  </w:divBdr>
                  <w:divsChild>
                    <w:div w:id="1898544179">
                      <w:marLeft w:val="0"/>
                      <w:marRight w:val="0"/>
                      <w:marTop w:val="0"/>
                      <w:marBottom w:val="0"/>
                      <w:divBdr>
                        <w:top w:val="none" w:sz="0" w:space="0" w:color="auto"/>
                        <w:left w:val="none" w:sz="0" w:space="0" w:color="auto"/>
                        <w:bottom w:val="none" w:sz="0" w:space="0" w:color="auto"/>
                        <w:right w:val="none" w:sz="0" w:space="0" w:color="auto"/>
                      </w:divBdr>
                      <w:divsChild>
                        <w:div w:id="53720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926667">
      <w:bodyDiv w:val="1"/>
      <w:marLeft w:val="0"/>
      <w:marRight w:val="0"/>
      <w:marTop w:val="0"/>
      <w:marBottom w:val="0"/>
      <w:divBdr>
        <w:top w:val="none" w:sz="0" w:space="0" w:color="auto"/>
        <w:left w:val="none" w:sz="0" w:space="0" w:color="auto"/>
        <w:bottom w:val="none" w:sz="0" w:space="0" w:color="auto"/>
        <w:right w:val="none" w:sz="0" w:space="0" w:color="auto"/>
      </w:divBdr>
    </w:div>
    <w:div w:id="1541089864">
      <w:bodyDiv w:val="1"/>
      <w:marLeft w:val="0"/>
      <w:marRight w:val="0"/>
      <w:marTop w:val="0"/>
      <w:marBottom w:val="0"/>
      <w:divBdr>
        <w:top w:val="none" w:sz="0" w:space="0" w:color="auto"/>
        <w:left w:val="none" w:sz="0" w:space="0" w:color="auto"/>
        <w:bottom w:val="none" w:sz="0" w:space="0" w:color="auto"/>
        <w:right w:val="none" w:sz="0" w:space="0" w:color="auto"/>
      </w:divBdr>
    </w:div>
    <w:div w:id="1647323343">
      <w:bodyDiv w:val="1"/>
      <w:marLeft w:val="0"/>
      <w:marRight w:val="0"/>
      <w:marTop w:val="0"/>
      <w:marBottom w:val="0"/>
      <w:divBdr>
        <w:top w:val="none" w:sz="0" w:space="0" w:color="auto"/>
        <w:left w:val="none" w:sz="0" w:space="0" w:color="auto"/>
        <w:bottom w:val="none" w:sz="0" w:space="0" w:color="auto"/>
        <w:right w:val="none" w:sz="0" w:space="0" w:color="auto"/>
      </w:divBdr>
    </w:div>
    <w:div w:id="1919511255">
      <w:bodyDiv w:val="1"/>
      <w:marLeft w:val="0"/>
      <w:marRight w:val="0"/>
      <w:marTop w:val="0"/>
      <w:marBottom w:val="0"/>
      <w:divBdr>
        <w:top w:val="none" w:sz="0" w:space="0" w:color="auto"/>
        <w:left w:val="none" w:sz="0" w:space="0" w:color="auto"/>
        <w:bottom w:val="none" w:sz="0" w:space="0" w:color="auto"/>
        <w:right w:val="none" w:sz="0" w:space="0" w:color="auto"/>
      </w:divBdr>
      <w:divsChild>
        <w:div w:id="1279681409">
          <w:marLeft w:val="0"/>
          <w:marRight w:val="0"/>
          <w:marTop w:val="0"/>
          <w:marBottom w:val="0"/>
          <w:divBdr>
            <w:top w:val="none" w:sz="0" w:space="0" w:color="auto"/>
            <w:left w:val="none" w:sz="0" w:space="0" w:color="auto"/>
            <w:bottom w:val="none" w:sz="0" w:space="0" w:color="auto"/>
            <w:right w:val="none" w:sz="0" w:space="0" w:color="auto"/>
          </w:divBdr>
          <w:divsChild>
            <w:div w:id="1889216396">
              <w:marLeft w:val="0"/>
              <w:marRight w:val="0"/>
              <w:marTop w:val="0"/>
              <w:marBottom w:val="0"/>
              <w:divBdr>
                <w:top w:val="none" w:sz="0" w:space="0" w:color="auto"/>
                <w:left w:val="none" w:sz="0" w:space="0" w:color="auto"/>
                <w:bottom w:val="none" w:sz="0" w:space="0" w:color="auto"/>
                <w:right w:val="none" w:sz="0" w:space="0" w:color="auto"/>
              </w:divBdr>
              <w:divsChild>
                <w:div w:id="443305322">
                  <w:marLeft w:val="0"/>
                  <w:marRight w:val="0"/>
                  <w:marTop w:val="0"/>
                  <w:marBottom w:val="0"/>
                  <w:divBdr>
                    <w:top w:val="none" w:sz="0" w:space="0" w:color="auto"/>
                    <w:left w:val="none" w:sz="0" w:space="0" w:color="auto"/>
                    <w:bottom w:val="none" w:sz="0" w:space="0" w:color="auto"/>
                    <w:right w:val="none" w:sz="0" w:space="0" w:color="auto"/>
                  </w:divBdr>
                  <w:divsChild>
                    <w:div w:id="370500252">
                      <w:marLeft w:val="0"/>
                      <w:marRight w:val="0"/>
                      <w:marTop w:val="0"/>
                      <w:marBottom w:val="0"/>
                      <w:divBdr>
                        <w:top w:val="none" w:sz="0" w:space="0" w:color="auto"/>
                        <w:left w:val="none" w:sz="0" w:space="0" w:color="auto"/>
                        <w:bottom w:val="none" w:sz="0" w:space="0" w:color="auto"/>
                        <w:right w:val="none" w:sz="0" w:space="0" w:color="auto"/>
                      </w:divBdr>
                      <w:divsChild>
                        <w:div w:id="76241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063059">
              <w:marLeft w:val="0"/>
              <w:marRight w:val="0"/>
              <w:marTop w:val="0"/>
              <w:marBottom w:val="0"/>
              <w:divBdr>
                <w:top w:val="none" w:sz="0" w:space="0" w:color="auto"/>
                <w:left w:val="none" w:sz="0" w:space="0" w:color="auto"/>
                <w:bottom w:val="none" w:sz="0" w:space="0" w:color="auto"/>
                <w:right w:val="none" w:sz="0" w:space="0" w:color="auto"/>
              </w:divBdr>
              <w:divsChild>
                <w:div w:id="567033178">
                  <w:marLeft w:val="0"/>
                  <w:marRight w:val="0"/>
                  <w:marTop w:val="75"/>
                  <w:marBottom w:val="0"/>
                  <w:divBdr>
                    <w:top w:val="none" w:sz="0" w:space="0" w:color="auto"/>
                    <w:left w:val="none" w:sz="0" w:space="0" w:color="auto"/>
                    <w:bottom w:val="none" w:sz="0" w:space="0" w:color="auto"/>
                    <w:right w:val="none" w:sz="0" w:space="0" w:color="auto"/>
                  </w:divBdr>
                  <w:divsChild>
                    <w:div w:id="1452820719">
                      <w:marLeft w:val="0"/>
                      <w:marRight w:val="0"/>
                      <w:marTop w:val="0"/>
                      <w:marBottom w:val="0"/>
                      <w:divBdr>
                        <w:top w:val="none" w:sz="0" w:space="0" w:color="auto"/>
                        <w:left w:val="none" w:sz="0" w:space="0" w:color="auto"/>
                        <w:bottom w:val="none" w:sz="0" w:space="0" w:color="auto"/>
                        <w:right w:val="none" w:sz="0" w:space="0" w:color="auto"/>
                      </w:divBdr>
                      <w:divsChild>
                        <w:div w:id="1153446050">
                          <w:marLeft w:val="0"/>
                          <w:marRight w:val="0"/>
                          <w:marTop w:val="0"/>
                          <w:marBottom w:val="0"/>
                          <w:divBdr>
                            <w:top w:val="none" w:sz="0" w:space="0" w:color="auto"/>
                            <w:left w:val="none" w:sz="0" w:space="0" w:color="auto"/>
                            <w:bottom w:val="none" w:sz="0" w:space="0" w:color="auto"/>
                            <w:right w:val="none" w:sz="0" w:space="0" w:color="auto"/>
                          </w:divBdr>
                          <w:divsChild>
                            <w:div w:id="626277318">
                              <w:marLeft w:val="0"/>
                              <w:marRight w:val="0"/>
                              <w:marTop w:val="0"/>
                              <w:marBottom w:val="0"/>
                              <w:divBdr>
                                <w:top w:val="none" w:sz="0" w:space="0" w:color="auto"/>
                                <w:left w:val="none" w:sz="0" w:space="0" w:color="auto"/>
                                <w:bottom w:val="none" w:sz="0" w:space="0" w:color="auto"/>
                                <w:right w:val="none" w:sz="0" w:space="0" w:color="auto"/>
                              </w:divBdr>
                              <w:divsChild>
                                <w:div w:id="1963340311">
                                  <w:marLeft w:val="0"/>
                                  <w:marRight w:val="0"/>
                                  <w:marTop w:val="0"/>
                                  <w:marBottom w:val="0"/>
                                  <w:divBdr>
                                    <w:top w:val="none" w:sz="0" w:space="0" w:color="auto"/>
                                    <w:left w:val="none" w:sz="0" w:space="0" w:color="auto"/>
                                    <w:bottom w:val="none" w:sz="0" w:space="0" w:color="auto"/>
                                    <w:right w:val="none" w:sz="0" w:space="0" w:color="auto"/>
                                  </w:divBdr>
                                  <w:divsChild>
                                    <w:div w:id="84227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9115668">
          <w:marLeft w:val="0"/>
          <w:marRight w:val="0"/>
          <w:marTop w:val="0"/>
          <w:marBottom w:val="450"/>
          <w:divBdr>
            <w:top w:val="none" w:sz="0" w:space="0" w:color="auto"/>
            <w:left w:val="none" w:sz="0" w:space="0" w:color="auto"/>
            <w:bottom w:val="none" w:sz="0" w:space="0" w:color="auto"/>
            <w:right w:val="none" w:sz="0" w:space="0" w:color="auto"/>
          </w:divBdr>
          <w:divsChild>
            <w:div w:id="2085377264">
              <w:marLeft w:val="0"/>
              <w:marRight w:val="0"/>
              <w:marTop w:val="0"/>
              <w:marBottom w:val="0"/>
              <w:divBdr>
                <w:top w:val="none" w:sz="0" w:space="0" w:color="auto"/>
                <w:left w:val="none" w:sz="0" w:space="0" w:color="auto"/>
                <w:bottom w:val="none" w:sz="0" w:space="0" w:color="auto"/>
                <w:right w:val="none" w:sz="0" w:space="0" w:color="auto"/>
              </w:divBdr>
              <w:divsChild>
                <w:div w:id="1320690263">
                  <w:marLeft w:val="0"/>
                  <w:marRight w:val="0"/>
                  <w:marTop w:val="0"/>
                  <w:marBottom w:val="0"/>
                  <w:divBdr>
                    <w:top w:val="none" w:sz="0" w:space="0" w:color="auto"/>
                    <w:left w:val="none" w:sz="0" w:space="0" w:color="auto"/>
                    <w:bottom w:val="none" w:sz="0" w:space="0" w:color="auto"/>
                    <w:right w:val="none" w:sz="0" w:space="0" w:color="auto"/>
                  </w:divBdr>
                  <w:divsChild>
                    <w:div w:id="1814446694">
                      <w:marLeft w:val="0"/>
                      <w:marRight w:val="0"/>
                      <w:marTop w:val="0"/>
                      <w:marBottom w:val="0"/>
                      <w:divBdr>
                        <w:top w:val="none" w:sz="0" w:space="0" w:color="auto"/>
                        <w:left w:val="none" w:sz="0" w:space="0" w:color="auto"/>
                        <w:bottom w:val="none" w:sz="0" w:space="0" w:color="auto"/>
                        <w:right w:val="none" w:sz="0" w:space="0" w:color="auto"/>
                      </w:divBdr>
                      <w:divsChild>
                        <w:div w:id="202447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ciencebusiness.net/sites/default/files/inline-files/HORIZON-CL2-2026-2027_04_02_2025.pdf" TargetMode="External"/><Relationship Id="rId21" Type="http://schemas.openxmlformats.org/officeDocument/2006/relationships/hyperlink" Target="https://www.europeidf.fr/jai-un-projet/appels-a-projets/lutte-contre-le-decrochage-scolaire-colleges-et-lycees-2025" TargetMode="External"/><Relationship Id="rId42" Type="http://schemas.openxmlformats.org/officeDocument/2006/relationships/hyperlink" Target="https://open-science-monitoring.org/principles/" TargetMode="External"/><Relationship Id="rId47" Type="http://schemas.openxmlformats.org/officeDocument/2006/relationships/hyperlink" Target="https://calenda.org/1236177" TargetMode="External"/><Relationship Id="rId63" Type="http://schemas.openxmlformats.org/officeDocument/2006/relationships/hyperlink" Target="https://www-nature-com.bibelec.univ-lyon2.fr/collections/jahbccdbba/guest-editors"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resp.net/financements/demandes-de-subvention/" TargetMode="External"/><Relationship Id="rId29" Type="http://schemas.openxmlformats.org/officeDocument/2006/relationships/hyperlink" Target="https://www.cost.eu/" TargetMode="External"/><Relationship Id="rId11" Type="http://schemas.openxmlformats.org/officeDocument/2006/relationships/image" Target="media/image3.png"/><Relationship Id="rId24" Type="http://schemas.openxmlformats.org/officeDocument/2006/relationships/hyperlink" Target="https://www.horizon-europe.gouv.fr/calendriers-et-documents-des-appels-erc-27857?utm_campaign=Newsletter%20Recherche%20n%C2%B02&amp;utm_medium=email&amp;utm_source=Mailjet" TargetMode="External"/><Relationship Id="rId32" Type="http://schemas.openxmlformats.org/officeDocument/2006/relationships/hyperlink" Target="https://erasmus-plus.ec.europa.eu/fr/opportunities/opportunities-for-individuals/students/studying-abroad" TargetMode="External"/><Relationship Id="rId37" Type="http://schemas.openxmlformats.org/officeDocument/2006/relationships/hyperlink" Target="https://www.fun-mooc.fr/fr/cours/rediger-et-publier-un-article-scientifique/?edit&amp;language=fr" TargetMode="External"/><Relationship Id="rId40" Type="http://schemas.openxmlformats.org/officeDocument/2006/relationships/hyperlink" Target="https://www.ouvrirlascience.fr/rapport-dactivite-du-groupement-dinteret-scientifique-fonds-national-pour-la-science-ouverte-2022-2024/" TargetMode="External"/><Relationship Id="rId45" Type="http://schemas.openxmlformats.org/officeDocument/2006/relationships/hyperlink" Target="https://calenda.org/1235739" TargetMode="External"/><Relationship Id="rId53" Type="http://schemas.openxmlformats.org/officeDocument/2006/relationships/hyperlink" Target="https://www.acfos.org/wp-content/uploads/A21-Acfos-Surdite-en-2025.pdf" TargetMode="External"/><Relationship Id="rId58" Type="http://schemas.openxmlformats.org/officeDocument/2006/relationships/hyperlink" Target="https://ufolep-my.sharepoint.com/personal/cstrugala_laligue-usep_org/_layouts/15/onedrive.aspx?id=%2Fpersonal%2Fcstrugala%5Flaligue%2Dusep%5Forg%2FDocuments%2FPRATIQUES%5FINCLUSIVES%2FINCLUSEP%5FPRESENTATION%5FPARCOURS%5FHANDICAP%2Epdf&amp;parent=%2Fpersonal%2Fcstrugala%5Flaligue%2Dusep%5Forg%2FDocuments%2FPRATIQUES%5FINCLUSIVES&amp;ga=1" TargetMode="External"/><Relationship Id="rId66" Type="http://schemas.openxmlformats.org/officeDocument/2006/relationships/hyperlink" Target="mailto:lucyna.gomez-echeverri@insei.fr" TargetMode="External"/><Relationship Id="rId5" Type="http://schemas.openxmlformats.org/officeDocument/2006/relationships/webSettings" Target="webSettings.xml"/><Relationship Id="rId61" Type="http://schemas.openxmlformats.org/officeDocument/2006/relationships/hyperlink" Target="https://www.uspalz.com/" TargetMode="External"/><Relationship Id="rId19" Type="http://schemas.openxmlformats.org/officeDocument/2006/relationships/hyperlink" Target="https://innovation.agefiph.fr/actualites-innovation/innovation-et-recherche-2024-2027-deposez-vos-projets-compter-du-16-septembre" TargetMode="External"/><Relationship Id="rId14" Type="http://schemas.openxmlformats.org/officeDocument/2006/relationships/hyperlink" Target="mailto:minna.puustinen@insei.fr" TargetMode="External"/><Relationship Id="rId22" Type="http://schemas.openxmlformats.org/officeDocument/2006/relationships/hyperlink" Target="https://www.horizon-europe.gouv.fr/msca-choose-europe-science-2025-40679" TargetMode="External"/><Relationship Id="rId27" Type="http://schemas.openxmlformats.org/officeDocument/2006/relationships/hyperlink" Target="https://marie-sklodowska-curie-actions.ec.europa.eu/actions/postdoctoral-fellowships" TargetMode="External"/><Relationship Id="rId30" Type="http://schemas.openxmlformats.org/officeDocument/2006/relationships/hyperlink" Target="https://www.anrt.asso.fr/fr/accueil-cifre" TargetMode="External"/><Relationship Id="rId35" Type="http://schemas.openxmlformats.org/officeDocument/2006/relationships/hyperlink" Target="https://www.ccsd.cnrs.fr/2025/06/lier-publications-et-jeux-de-donnees-des-echanges-automatiques-normalises-entre-hal-et-nakala/" TargetMode="External"/><Relationship Id="rId43" Type="http://schemas.openxmlformats.org/officeDocument/2006/relationships/hyperlink" Target="https://univ-lyon1-fr.zoom.us/j/87289949657?pwd=bLFjvyzt7dugrgr6466YK2deSJcQNa.1" TargetMode="External"/><Relationship Id="rId48" Type="http://schemas.openxmlformats.org/officeDocument/2006/relationships/hyperlink" Target="https://www.opco-atlas.fr/atlas/evenement/atlas-de-tous-les-talents-2025.html" TargetMode="External"/><Relationship Id="rId56" Type="http://schemas.openxmlformats.org/officeDocument/2006/relationships/hyperlink" Target="https://calenda.org/1272230" TargetMode="External"/><Relationship Id="rId64" Type="http://schemas.openxmlformats.org/officeDocument/2006/relationships/image" Target="media/image6.jpg"/><Relationship Id="rId69"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calenda.org/1283126" TargetMode="External"/><Relationship Id="rId3" Type="http://schemas.openxmlformats.org/officeDocument/2006/relationships/styles" Target="styles.xml"/><Relationship Id="rId12" Type="http://schemas.openxmlformats.org/officeDocument/2006/relationships/image" Target="media/image4.svg"/><Relationship Id="rId17" Type="http://schemas.openxmlformats.org/officeDocument/2006/relationships/hyperlink" Target="https://anct.gouv.fr/programmes-dispositifs/politique-de-la-ville/dispositifs/cites-educatives" TargetMode="External"/><Relationship Id="rId25" Type="http://schemas.openxmlformats.org/officeDocument/2006/relationships/hyperlink" Target="http://ife.ens-lyon.fr/lea/le-reseau/devenir-un-lea/devenir-un-lea" TargetMode="External"/><Relationship Id="rId33" Type="http://schemas.openxmlformats.org/officeDocument/2006/relationships/hyperlink" Target="https://www.orientation-philosophy.com/fellowship/" TargetMode="External"/><Relationship Id="rId38" Type="http://schemas.openxmlformats.org/officeDocument/2006/relationships/hyperlink" Target="https://www.enseignementsup-recherche.gouv.fr/sites/default/files/2025-07/glossaire-de-l-dition-scientifique-37517.pdf" TargetMode="External"/><Relationship Id="rId46" Type="http://schemas.openxmlformats.org/officeDocument/2006/relationships/hyperlink" Target="https://calenda.org/1223938" TargetMode="External"/><Relationship Id="rId59" Type="http://schemas.openxmlformats.org/officeDocument/2006/relationships/hyperlink" Target="https://www.autisme-france.fr/discours-douverture" TargetMode="External"/><Relationship Id="rId67" Type="http://schemas.openxmlformats.org/officeDocument/2006/relationships/hyperlink" Target="https://sondages.inshea.fr/index.php/954869?lang=fr" TargetMode="External"/><Relationship Id="rId20" Type="http://schemas.openxmlformats.org/officeDocument/2006/relationships/hyperlink" Target="https://candidatures.iufrance.fr/accueil.html" TargetMode="External"/><Relationship Id="rId41" Type="http://schemas.openxmlformats.org/officeDocument/2006/relationships/hyperlink" Target="https://cordis.europa.eu/project/id/101188078/fr" TargetMode="External"/><Relationship Id="rId54" Type="http://schemas.openxmlformats.org/officeDocument/2006/relationships/hyperlink" Target="https://www.ebgb.admin.ch/fr/colloque-e-accessibilite-du-21-novembre-2025" TargetMode="External"/><Relationship Id="rId62" Type="http://schemas.openxmlformats.org/officeDocument/2006/relationships/hyperlink" Target="https://liceducation.com/"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www.fondation-alzheimer.org/ouverture-des-appels-a-projets-2025/" TargetMode="External"/><Relationship Id="rId28" Type="http://schemas.openxmlformats.org/officeDocument/2006/relationships/hyperlink" Target="https://marie-sklodowska-curie-actions.ec.europa.eu/actions/staff-exchanges" TargetMode="External"/><Relationship Id="rId36" Type="http://schemas.openxmlformats.org/officeDocument/2006/relationships/hyperlink" Target="https://learning.hal.science/enrol/synopsis/index.php?id=190" TargetMode="External"/><Relationship Id="rId49" Type="http://schemas.openxmlformats.org/officeDocument/2006/relationships/hyperlink" Target="https://calenda.org/1264049" TargetMode="External"/><Relationship Id="rId57" Type="http://schemas.openxmlformats.org/officeDocument/2006/relationships/hyperlink" Target="mailto:clement.pin@insei.fr" TargetMode="External"/><Relationship Id="rId10" Type="http://schemas.openxmlformats.org/officeDocument/2006/relationships/image" Target="media/image2.jpeg"/><Relationship Id="rId31" Type="http://schemas.openxmlformats.org/officeDocument/2006/relationships/hyperlink" Target="https://saferesearchers.eu" TargetMode="External"/><Relationship Id="rId44" Type="http://schemas.openxmlformats.org/officeDocument/2006/relationships/hyperlink" Target="https://www.csa-scs.ca/files/www/New_Items/Webinaire_Cadres_Programme.pdf" TargetMode="External"/><Relationship Id="rId52" Type="http://schemas.openxmlformats.org/officeDocument/2006/relationships/hyperlink" Target="https://socialrufs2025.sciencesconf.org/?lang=fr" TargetMode="External"/><Relationship Id="rId60" Type="http://schemas.openxmlformats.org/officeDocument/2006/relationships/hyperlink" Target="https://calenda.org/1284380" TargetMode="External"/><Relationship Id="rId65" Type="http://schemas.openxmlformats.org/officeDocument/2006/relationships/hyperlink" Target="https://www.france-education-international.fr/expertises/cooperation-education/projets/idi4sport-inclusion-and-disabilities-and-through-sport?langue=fr" TargetMode="External"/><Relationship Id="rId4" Type="http://schemas.openxmlformats.org/officeDocument/2006/relationships/settings" Target="settings.xml"/><Relationship Id="rId9" Type="http://schemas.openxmlformats.org/officeDocument/2006/relationships/hyperlink" Target="https://theses.fr/2022PA100122" TargetMode="External"/><Relationship Id="rId13" Type="http://schemas.openxmlformats.org/officeDocument/2006/relationships/hyperlink" Target="mailto:monica.macedo@cyu.fr" TargetMode="External"/><Relationship Id="rId18" Type="http://schemas.openxmlformats.org/officeDocument/2006/relationships/hyperlink" Target="https://anr.fr/fr/france-2030/france2030/call/choose-france-for-science-appel-a-manifestation-dinteret-2025/" TargetMode="External"/><Relationship Id="rId39" Type="http://schemas.openxmlformats.org/officeDocument/2006/relationships/hyperlink" Target="https://opidor.fr/nouveautes-dmp-opidor/" TargetMode="External"/><Relationship Id="rId34" Type="http://schemas.openxmlformats.org/officeDocument/2006/relationships/hyperlink" Target="https://doc.hal.science/decouvrir-hal/orcid/" TargetMode="External"/><Relationship Id="rId50" Type="http://schemas.openxmlformats.org/officeDocument/2006/relationships/hyperlink" Target="https://egalisup3.sciencesconf.org/" TargetMode="External"/><Relationship Id="rId55" Type="http://schemas.openxmlformats.org/officeDocument/2006/relationships/hyperlink" Target="https://handicap.cfecgc.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8B07B1-19EB-44F7-B90C-063F768B8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6389</Words>
  <Characters>35142</Characters>
  <Application>Microsoft Office Word</Application>
  <DocSecurity>0</DocSecurity>
  <Lines>292</Lines>
  <Paragraphs>82</Paragraphs>
  <ScaleCrop>false</ScaleCrop>
  <HeadingPairs>
    <vt:vector size="2" baseType="variant">
      <vt:variant>
        <vt:lpstr>Titre</vt:lpstr>
      </vt:variant>
      <vt:variant>
        <vt:i4>1</vt:i4>
      </vt:variant>
    </vt:vector>
  </HeadingPairs>
  <TitlesOfParts>
    <vt:vector size="1" baseType="lpstr">
      <vt:lpstr>Newsletter  « Recherche et international  » de l'INSEI - octobre 2025</vt:lpstr>
    </vt:vector>
  </TitlesOfParts>
  <Manager>Lucyna GOMEZ-ECHEVERRI</Manager>
  <Company>INSEI</Company>
  <LinksUpToDate>false</LinksUpToDate>
  <CharactersWithSpaces>41449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 Recherche et international  » de l'INSEI - octobre 2025</dc:title>
  <dc:subject/>
  <dc:creator>Grhapes - Lucyna GOMEZ-ECHEVERRI et Sorenza MAGON</dc:creator>
  <cp:keywords/>
  <dc:description/>
  <cp:lastModifiedBy>Lucyna  DERKACZ</cp:lastModifiedBy>
  <cp:revision>2</cp:revision>
  <dcterms:created xsi:type="dcterms:W3CDTF">2025-10-21T06:51:00Z</dcterms:created>
  <dcterms:modified xsi:type="dcterms:W3CDTF">2025-10-21T06:51:00Z</dcterms:modified>
  <cp:category/>
</cp:coreProperties>
</file>