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55BE2" w14:textId="77777777" w:rsidR="002A59A1" w:rsidRPr="002A59A1" w:rsidRDefault="00546D98" w:rsidP="00361804">
      <w:pPr>
        <w:pStyle w:val="Titre1"/>
      </w:pPr>
      <w:r>
        <w:t xml:space="preserve">Sommaire de </w:t>
      </w:r>
      <w:r>
        <w:rPr>
          <w:i/>
        </w:rPr>
        <w:t>La nouvelle revue de l’adaptation et de la scolarisation</w:t>
      </w:r>
      <w:r>
        <w:t xml:space="preserve">, numéro </w:t>
      </w:r>
      <w:r w:rsidR="002A59A1" w:rsidRPr="002A59A1">
        <w:t>67</w:t>
      </w:r>
      <w:r w:rsidR="00A247DC">
        <w:t xml:space="preserve"> </w:t>
      </w:r>
      <w:r w:rsidR="00A247DC">
        <w:br/>
      </w:r>
      <w:r w:rsidR="002A59A1" w:rsidRPr="002A59A1">
        <w:t>(3</w:t>
      </w:r>
      <w:r w:rsidR="002A59A1" w:rsidRPr="00A247DC">
        <w:rPr>
          <w:vertAlign w:val="superscript"/>
        </w:rPr>
        <w:t>e</w:t>
      </w:r>
      <w:r w:rsidR="002A59A1" w:rsidRPr="002A59A1">
        <w:t xml:space="preserve"> trimestre 2014)</w:t>
      </w:r>
    </w:p>
    <w:p w14:paraId="5492E5F6" w14:textId="1A46513E" w:rsidR="001C4745" w:rsidRDefault="002A59A1" w:rsidP="001C4745">
      <w:r w:rsidRPr="002A59A1">
        <w:t>Éditoria</w:t>
      </w:r>
      <w:r w:rsidR="002C7EB7">
        <w:t>l</w:t>
      </w:r>
      <w:r w:rsidR="00361804">
        <w:t xml:space="preserve">. </w:t>
      </w:r>
      <w:r w:rsidRPr="002A59A1">
        <w:t>Hervé Benoit</w:t>
      </w:r>
    </w:p>
    <w:p w14:paraId="228CE7C2" w14:textId="77777777" w:rsidR="002A59A1" w:rsidRPr="002A59A1" w:rsidRDefault="00175330" w:rsidP="001C4745">
      <w:pPr>
        <w:pStyle w:val="Titre2"/>
      </w:pPr>
      <w:r>
        <w:t>Dossier « </w:t>
      </w:r>
      <w:r w:rsidR="002A59A1" w:rsidRPr="002A59A1">
        <w:t xml:space="preserve">Les dispositifs </w:t>
      </w:r>
      <w:proofErr w:type="spellStart"/>
      <w:r w:rsidR="002A59A1" w:rsidRPr="002A59A1">
        <w:t>Itep</w:t>
      </w:r>
      <w:proofErr w:type="spellEnd"/>
      <w:r w:rsidR="002A59A1" w:rsidRPr="002A59A1">
        <w:t xml:space="preserve"> en devenir</w:t>
      </w:r>
      <w:r>
        <w:t> »</w:t>
      </w:r>
    </w:p>
    <w:p w14:paraId="12A3CBB4" w14:textId="77777777" w:rsidR="002A59A1" w:rsidRPr="002A59A1" w:rsidRDefault="002A59A1" w:rsidP="002A59A1">
      <w:r w:rsidRPr="002A59A1">
        <w:t>Présentation du dossier</w:t>
      </w:r>
      <w:r w:rsidR="001C4745">
        <w:t xml:space="preserve">. </w:t>
      </w:r>
      <w:r w:rsidRPr="002A59A1">
        <w:t xml:space="preserve">Hervé Benoit et Sylvie </w:t>
      </w:r>
      <w:proofErr w:type="spellStart"/>
      <w:r w:rsidRPr="002A59A1">
        <w:t>Canat</w:t>
      </w:r>
      <w:proofErr w:type="spellEnd"/>
    </w:p>
    <w:p w14:paraId="30CA8425" w14:textId="77777777" w:rsidR="002A59A1" w:rsidRPr="002A59A1" w:rsidRDefault="002A59A1" w:rsidP="002A59A1">
      <w:proofErr w:type="spellStart"/>
      <w:r w:rsidRPr="002A59A1">
        <w:t>Itep</w:t>
      </w:r>
      <w:proofErr w:type="spellEnd"/>
      <w:r w:rsidRPr="002A59A1">
        <w:t>, dispositif d’avenir</w:t>
      </w:r>
      <w:r w:rsidR="001C4745">
        <w:t xml:space="preserve">. </w:t>
      </w:r>
      <w:r w:rsidRPr="002A59A1">
        <w:t xml:space="preserve">Gilles </w:t>
      </w:r>
      <w:proofErr w:type="spellStart"/>
      <w:r w:rsidRPr="002A59A1">
        <w:t>Gonnard</w:t>
      </w:r>
      <w:proofErr w:type="spellEnd"/>
      <w:r w:rsidRPr="002A59A1">
        <w:t xml:space="preserve">, Jacky </w:t>
      </w:r>
      <w:proofErr w:type="spellStart"/>
      <w:r w:rsidRPr="002A59A1">
        <w:t>Desmet</w:t>
      </w:r>
      <w:proofErr w:type="spellEnd"/>
    </w:p>
    <w:p w14:paraId="643C4B6B" w14:textId="77777777" w:rsidR="002A59A1" w:rsidRPr="002A59A1" w:rsidRDefault="002A59A1" w:rsidP="002A59A1">
      <w:r w:rsidRPr="002A59A1">
        <w:t xml:space="preserve">Le visible et l’invisible du dispositif </w:t>
      </w:r>
      <w:proofErr w:type="spellStart"/>
      <w:r w:rsidRPr="002A59A1">
        <w:t>Itep</w:t>
      </w:r>
      <w:proofErr w:type="spellEnd"/>
      <w:r w:rsidR="001C4745">
        <w:t xml:space="preserve"> </w:t>
      </w:r>
      <w:r w:rsidRPr="002A59A1">
        <w:t>Vers une pédagogie et psychothérapie adaptées aux troubles</w:t>
      </w:r>
      <w:r w:rsidR="001C4745">
        <w:t xml:space="preserve">. </w:t>
      </w:r>
      <w:r w:rsidRPr="002A59A1">
        <w:t xml:space="preserve">Sylvie </w:t>
      </w:r>
      <w:proofErr w:type="spellStart"/>
      <w:r w:rsidRPr="002A59A1">
        <w:t>Canat</w:t>
      </w:r>
      <w:proofErr w:type="spellEnd"/>
      <w:r w:rsidRPr="002A59A1">
        <w:t>, Bernard Salignon</w:t>
      </w:r>
    </w:p>
    <w:p w14:paraId="782628C0" w14:textId="77777777" w:rsidR="002A59A1" w:rsidRPr="002A59A1" w:rsidRDefault="002A59A1" w:rsidP="002A59A1">
      <w:r w:rsidRPr="002A59A1">
        <w:t xml:space="preserve">Nouveaux enjeux cliniques et institutionnels en </w:t>
      </w:r>
      <w:proofErr w:type="spellStart"/>
      <w:r w:rsidRPr="002A59A1">
        <w:t>Itep</w:t>
      </w:r>
      <w:proofErr w:type="spellEnd"/>
      <w:r w:rsidR="001C4745">
        <w:t xml:space="preserve">. </w:t>
      </w:r>
      <w:r w:rsidRPr="002A59A1">
        <w:t>Michel Botbol</w:t>
      </w:r>
    </w:p>
    <w:p w14:paraId="6AF648A1" w14:textId="77777777" w:rsidR="002A59A1" w:rsidRPr="002A59A1" w:rsidRDefault="002A59A1" w:rsidP="002A59A1">
      <w:r w:rsidRPr="002A59A1">
        <w:t>Psychogenèse de l’agressivité</w:t>
      </w:r>
      <w:r w:rsidR="001C4745">
        <w:t xml:space="preserve">. </w:t>
      </w:r>
      <w:r w:rsidRPr="002A59A1">
        <w:t xml:space="preserve">Daniel </w:t>
      </w:r>
      <w:proofErr w:type="spellStart"/>
      <w:r w:rsidRPr="002A59A1">
        <w:t>Calin</w:t>
      </w:r>
      <w:proofErr w:type="spellEnd"/>
    </w:p>
    <w:p w14:paraId="054D4480" w14:textId="77777777" w:rsidR="002A59A1" w:rsidRPr="002A59A1" w:rsidRDefault="002A59A1" w:rsidP="002A59A1">
      <w:r w:rsidRPr="002A59A1">
        <w:t xml:space="preserve">Appartenance-Appropriation, une fonction </w:t>
      </w:r>
      <w:proofErr w:type="spellStart"/>
      <w:r w:rsidRPr="002A59A1">
        <w:t>instituante</w:t>
      </w:r>
      <w:proofErr w:type="spellEnd"/>
      <w:r w:rsidRPr="002A59A1">
        <w:t xml:space="preserve"> de l’</w:t>
      </w:r>
      <w:proofErr w:type="spellStart"/>
      <w:r w:rsidRPr="002A59A1">
        <w:t>Itep</w:t>
      </w:r>
      <w:proofErr w:type="spellEnd"/>
      <w:r w:rsidR="001C4745">
        <w:t xml:space="preserve">. </w:t>
      </w:r>
      <w:r w:rsidRPr="002A59A1">
        <w:t>Yannick Breton</w:t>
      </w:r>
    </w:p>
    <w:p w14:paraId="0049874B" w14:textId="77777777" w:rsidR="002A59A1" w:rsidRPr="002A59A1" w:rsidRDefault="002A59A1" w:rsidP="002A59A1">
      <w:r w:rsidRPr="002A59A1">
        <w:t>L’institution comme système.</w:t>
      </w:r>
      <w:r w:rsidR="00F446E1">
        <w:t xml:space="preserve"> </w:t>
      </w:r>
      <w:r w:rsidRPr="002A59A1">
        <w:t>Une lecture systémique de l’institutionnel</w:t>
      </w:r>
      <w:r w:rsidR="001C4745">
        <w:t xml:space="preserve">. </w:t>
      </w:r>
      <w:r w:rsidRPr="002A59A1">
        <w:t>Jacques Pain</w:t>
      </w:r>
    </w:p>
    <w:p w14:paraId="1FD802D8" w14:textId="77777777" w:rsidR="002A59A1" w:rsidRPr="002A59A1" w:rsidRDefault="002A59A1" w:rsidP="002A59A1">
      <w:r w:rsidRPr="002A59A1">
        <w:t xml:space="preserve">Les formes du « programme institutionnel » en </w:t>
      </w:r>
      <w:proofErr w:type="spellStart"/>
      <w:r w:rsidRPr="002A59A1">
        <w:t>Itep</w:t>
      </w:r>
      <w:proofErr w:type="spellEnd"/>
      <w:r w:rsidR="001C4745" w:rsidRPr="002A59A1">
        <w:t xml:space="preserve"> : l’interdisciplinarité</w:t>
      </w:r>
      <w:r w:rsidRPr="002A59A1">
        <w:t xml:space="preserve"> au service d’une prise en charge globale</w:t>
      </w:r>
      <w:r w:rsidR="001C4745">
        <w:t xml:space="preserve">. </w:t>
      </w:r>
      <w:r w:rsidRPr="002A59A1">
        <w:t>Hugo Dupont</w:t>
      </w:r>
    </w:p>
    <w:p w14:paraId="3CF1CD98" w14:textId="77777777" w:rsidR="002A59A1" w:rsidRPr="002A59A1" w:rsidRDefault="002A59A1" w:rsidP="002A59A1">
      <w:r w:rsidRPr="002A59A1">
        <w:t xml:space="preserve">Explorer la relation à l’apprentissage d’élèves scolarisés en </w:t>
      </w:r>
      <w:proofErr w:type="spellStart"/>
      <w:r w:rsidRPr="002A59A1">
        <w:t>Itep</w:t>
      </w:r>
      <w:proofErr w:type="spellEnd"/>
      <w:r w:rsidRPr="002A59A1">
        <w:t xml:space="preserve"> :</w:t>
      </w:r>
      <w:r w:rsidR="00F446E1">
        <w:t xml:space="preserve"> </w:t>
      </w:r>
      <w:r w:rsidRPr="002A59A1">
        <w:t>obstacles méthodologiques, pistes de réflexion pédagogiques</w:t>
      </w:r>
      <w:r w:rsidR="001C4745">
        <w:t xml:space="preserve">. </w:t>
      </w:r>
      <w:r w:rsidRPr="002A59A1">
        <w:t>Valérie Barry</w:t>
      </w:r>
    </w:p>
    <w:p w14:paraId="23692021" w14:textId="53A45AD9" w:rsidR="002A59A1" w:rsidRPr="002A59A1" w:rsidRDefault="002A59A1" w:rsidP="002A59A1">
      <w:r w:rsidRPr="002A59A1">
        <w:t xml:space="preserve">Enseigner et apprendre en </w:t>
      </w:r>
      <w:proofErr w:type="spellStart"/>
      <w:r w:rsidRPr="002A59A1">
        <w:t>Itep</w:t>
      </w:r>
      <w:proofErr w:type="spellEnd"/>
      <w:r w:rsidRPr="002A59A1">
        <w:t xml:space="preserve"> :la pédagogie au </w:t>
      </w:r>
      <w:r w:rsidR="00D45A54" w:rsidRPr="002A59A1">
        <w:t>cœur</w:t>
      </w:r>
      <w:r w:rsidRPr="002A59A1">
        <w:t xml:space="preserve"> des contradictions</w:t>
      </w:r>
      <w:r w:rsidR="001C4745">
        <w:t xml:space="preserve">. </w:t>
      </w:r>
      <w:r w:rsidRPr="002A59A1">
        <w:t>David Lopez</w:t>
      </w:r>
    </w:p>
    <w:p w14:paraId="130258A6" w14:textId="77777777" w:rsidR="002A59A1" w:rsidRPr="002A59A1" w:rsidRDefault="002A59A1" w:rsidP="002A59A1">
      <w:r w:rsidRPr="002A59A1">
        <w:t xml:space="preserve">Pratiques collaboratives interdisciplinaires à visée soignante en dispositifs </w:t>
      </w:r>
      <w:proofErr w:type="spellStart"/>
      <w:r w:rsidRPr="002A59A1">
        <w:t>Itep</w:t>
      </w:r>
      <w:proofErr w:type="spellEnd"/>
      <w:r w:rsidRPr="002A59A1">
        <w:t xml:space="preserve"> Pour qui ? Pourquoi ? Comment ?</w:t>
      </w:r>
      <w:r w:rsidR="001C4745">
        <w:t xml:space="preserve"> </w:t>
      </w:r>
      <w:r w:rsidRPr="002A59A1">
        <w:t>Catherine Ponsard</w:t>
      </w:r>
    </w:p>
    <w:p w14:paraId="5C0F96CB" w14:textId="77777777" w:rsidR="002A59A1" w:rsidRPr="002A59A1" w:rsidRDefault="002A59A1" w:rsidP="002A59A1">
      <w:r w:rsidRPr="002A59A1">
        <w:t xml:space="preserve">Enseigner en </w:t>
      </w:r>
      <w:proofErr w:type="spellStart"/>
      <w:r w:rsidRPr="002A59A1">
        <w:t>Itep</w:t>
      </w:r>
      <w:proofErr w:type="spellEnd"/>
      <w:r w:rsidRPr="002A59A1">
        <w:t xml:space="preserve"> ? Pas sans l’élève et pas sans concertations</w:t>
      </w:r>
      <w:r w:rsidR="001C4745">
        <w:t xml:space="preserve"> </w:t>
      </w:r>
      <w:r w:rsidRPr="002A59A1">
        <w:t>Conversations avec des enseignantes d’</w:t>
      </w:r>
      <w:proofErr w:type="spellStart"/>
      <w:r w:rsidRPr="002A59A1">
        <w:t>Itep</w:t>
      </w:r>
      <w:proofErr w:type="spellEnd"/>
      <w:r w:rsidR="001C4745">
        <w:t xml:space="preserve">. </w:t>
      </w:r>
      <w:r w:rsidRPr="002A59A1">
        <w:t>Magdalena Kohout-Diaz</w:t>
      </w:r>
    </w:p>
    <w:p w14:paraId="5D18D651" w14:textId="77777777" w:rsidR="002A59A1" w:rsidRPr="002A59A1" w:rsidRDefault="002A59A1" w:rsidP="002A59A1">
      <w:r w:rsidRPr="002A59A1">
        <w:t>« Il est urgent de prendre le temps »</w:t>
      </w:r>
      <w:r w:rsidR="001C4745">
        <w:t xml:space="preserve"> </w:t>
      </w:r>
      <w:r w:rsidRPr="002A59A1">
        <w:t>Ou comment l’</w:t>
      </w:r>
      <w:proofErr w:type="spellStart"/>
      <w:r w:rsidRPr="002A59A1">
        <w:t>Itep</w:t>
      </w:r>
      <w:proofErr w:type="spellEnd"/>
      <w:r w:rsidRPr="002A59A1">
        <w:t xml:space="preserve"> accompagne la parole auprès d’enfants en manque de mots</w:t>
      </w:r>
      <w:r w:rsidR="001C4745">
        <w:t xml:space="preserve">. </w:t>
      </w:r>
      <w:r w:rsidRPr="002A59A1">
        <w:t>Clémence Besançon-</w:t>
      </w:r>
      <w:proofErr w:type="spellStart"/>
      <w:r w:rsidRPr="002A59A1">
        <w:t>Carbonnel</w:t>
      </w:r>
      <w:proofErr w:type="spellEnd"/>
    </w:p>
    <w:p w14:paraId="1CE2C2D6" w14:textId="77777777" w:rsidR="002A59A1" w:rsidRPr="002A59A1" w:rsidRDefault="002A59A1" w:rsidP="002A59A1">
      <w:r w:rsidRPr="002A59A1">
        <w:t>« Travailler » avec les familles, enjeux et limites</w:t>
      </w:r>
      <w:r w:rsidR="001C4745">
        <w:t xml:space="preserve">. </w:t>
      </w:r>
      <w:r w:rsidRPr="002A59A1">
        <w:t xml:space="preserve">Michel </w:t>
      </w:r>
      <w:proofErr w:type="spellStart"/>
      <w:r w:rsidRPr="002A59A1">
        <w:t>Defrance</w:t>
      </w:r>
      <w:proofErr w:type="spellEnd"/>
    </w:p>
    <w:p w14:paraId="42594450" w14:textId="77777777" w:rsidR="002A59A1" w:rsidRPr="002A59A1" w:rsidRDefault="002A59A1" w:rsidP="002A59A1">
      <w:r w:rsidRPr="002A59A1">
        <w:t>Garantir le statut de collégien pour favoriser la posture d’élève</w:t>
      </w:r>
      <w:r w:rsidR="00B91AEF">
        <w:t xml:space="preserve"> </w:t>
      </w:r>
      <w:r w:rsidRPr="002A59A1">
        <w:t>L’expérience du dispositif Ulis/</w:t>
      </w:r>
      <w:proofErr w:type="spellStart"/>
      <w:r w:rsidRPr="002A59A1">
        <w:t>Itep</w:t>
      </w:r>
      <w:proofErr w:type="spellEnd"/>
      <w:r w:rsidRPr="002A59A1">
        <w:t xml:space="preserve"> du collège Jean </w:t>
      </w:r>
      <w:proofErr w:type="spellStart"/>
      <w:r w:rsidRPr="002A59A1">
        <w:t>Mounès</w:t>
      </w:r>
      <w:proofErr w:type="spellEnd"/>
      <w:r w:rsidRPr="002A59A1">
        <w:t xml:space="preserve"> de Pornic</w:t>
      </w:r>
      <w:r w:rsidR="00B91AEF">
        <w:t xml:space="preserve">. </w:t>
      </w:r>
      <w:r w:rsidRPr="002A59A1">
        <w:t xml:space="preserve">Christine Templier-Thomas, Régine Vigier, Yan Vari </w:t>
      </w:r>
      <w:proofErr w:type="spellStart"/>
      <w:r w:rsidRPr="002A59A1">
        <w:t>Magrez</w:t>
      </w:r>
      <w:proofErr w:type="spellEnd"/>
    </w:p>
    <w:p w14:paraId="759E9038" w14:textId="77777777" w:rsidR="002A59A1" w:rsidRPr="002A59A1" w:rsidRDefault="002A59A1" w:rsidP="002A59A1">
      <w:r w:rsidRPr="002A59A1">
        <w:t>Politiques publiques, professionnalités et langages :</w:t>
      </w:r>
      <w:r w:rsidR="00F446E1">
        <w:t xml:space="preserve"> </w:t>
      </w:r>
      <w:r w:rsidRPr="002A59A1">
        <w:t>les maillons faibles de la chaîne inclusive</w:t>
      </w:r>
      <w:r w:rsidR="00B91AEF">
        <w:t xml:space="preserve">. </w:t>
      </w:r>
      <w:r w:rsidRPr="002A59A1">
        <w:t>Hervé Benoit</w:t>
      </w:r>
    </w:p>
    <w:p w14:paraId="5F0FA868" w14:textId="77777777" w:rsidR="002A59A1" w:rsidRPr="002A59A1" w:rsidRDefault="002A59A1" w:rsidP="00B91AEF">
      <w:pPr>
        <w:pStyle w:val="Titre2"/>
      </w:pPr>
      <w:r w:rsidRPr="002A59A1">
        <w:t>Études et formations</w:t>
      </w:r>
    </w:p>
    <w:p w14:paraId="76BC858E" w14:textId="77777777" w:rsidR="002A59A1" w:rsidRPr="002A59A1" w:rsidRDefault="002A59A1" w:rsidP="002A59A1">
      <w:r w:rsidRPr="002A59A1">
        <w:t>L’appui des approches relationnelles</w:t>
      </w:r>
      <w:r w:rsidR="00B91AEF">
        <w:t xml:space="preserve"> </w:t>
      </w:r>
      <w:r w:rsidRPr="002A59A1">
        <w:t>pour favoriser l’accessibilité à l’université</w:t>
      </w:r>
      <w:r w:rsidR="00B91AEF">
        <w:t xml:space="preserve">. </w:t>
      </w:r>
      <w:r w:rsidRPr="002A59A1">
        <w:t xml:space="preserve">Marie-Louise Martinez, Christian </w:t>
      </w:r>
      <w:proofErr w:type="spellStart"/>
      <w:r w:rsidRPr="002A59A1">
        <w:t>Gadchaux</w:t>
      </w:r>
      <w:proofErr w:type="spellEnd"/>
    </w:p>
    <w:p w14:paraId="395C8861" w14:textId="77777777" w:rsidR="002A59A1" w:rsidRPr="002A59A1" w:rsidRDefault="002A59A1" w:rsidP="00B91AEF">
      <w:pPr>
        <w:pStyle w:val="Titre2"/>
      </w:pPr>
      <w:r w:rsidRPr="002A59A1">
        <w:lastRenderedPageBreak/>
        <w:t>Pédagogie et psychopédagogie</w:t>
      </w:r>
    </w:p>
    <w:p w14:paraId="2DE8CB61" w14:textId="77777777" w:rsidR="002A59A1" w:rsidRPr="002A59A1" w:rsidRDefault="002A59A1" w:rsidP="002A59A1">
      <w:r w:rsidRPr="002A59A1">
        <w:t>Le vécu de la scolarisation des collégiens handicapés :</w:t>
      </w:r>
      <w:r w:rsidR="007D5FBE">
        <w:t xml:space="preserve"> </w:t>
      </w:r>
      <w:r w:rsidRPr="002A59A1">
        <w:t>les relations entre élèves handicapés et groupe de pairs</w:t>
      </w:r>
      <w:r w:rsidR="00B91AEF">
        <w:t xml:space="preserve">. </w:t>
      </w:r>
      <w:r w:rsidRPr="002A59A1">
        <w:t>Nadège Bourgeois</w:t>
      </w:r>
    </w:p>
    <w:p w14:paraId="56CF0F6B" w14:textId="77777777" w:rsidR="002A59A1" w:rsidRPr="002A59A1" w:rsidRDefault="002A59A1" w:rsidP="00B91AEF">
      <w:pPr>
        <w:pStyle w:val="Titre2"/>
      </w:pPr>
      <w:r w:rsidRPr="002A59A1">
        <w:t>NTIC</w:t>
      </w:r>
    </w:p>
    <w:p w14:paraId="608F6B23" w14:textId="5F9C61F2" w:rsidR="002A59A1" w:rsidRPr="002A59A1" w:rsidRDefault="002A59A1" w:rsidP="002A59A1">
      <w:r w:rsidRPr="002A59A1">
        <w:t>Réalisation d’un jeu sérieux de sensibilisation</w:t>
      </w:r>
      <w:r w:rsidR="00B91AEF">
        <w:t xml:space="preserve"> </w:t>
      </w:r>
      <w:r w:rsidRPr="002A59A1">
        <w:t>à la déficience visuelle destiné aux élèves de cycle 3 :</w:t>
      </w:r>
      <w:r w:rsidR="007D5FBE">
        <w:t xml:space="preserve"> </w:t>
      </w:r>
      <w:r w:rsidRPr="002A59A1">
        <w:t xml:space="preserve">lorsque les élèves sont au </w:t>
      </w:r>
      <w:r w:rsidR="00D45A54" w:rsidRPr="002A59A1">
        <w:t>cœur</w:t>
      </w:r>
      <w:r w:rsidRPr="002A59A1">
        <w:t xml:space="preserve"> de la conception</w:t>
      </w:r>
      <w:r w:rsidR="00B91AEF">
        <w:t xml:space="preserve">. </w:t>
      </w:r>
      <w:r w:rsidRPr="002A59A1">
        <w:t xml:space="preserve">Chloé </w:t>
      </w:r>
      <w:proofErr w:type="spellStart"/>
      <w:r w:rsidRPr="002A59A1">
        <w:t>Pagot</w:t>
      </w:r>
      <w:proofErr w:type="spellEnd"/>
      <w:r w:rsidRPr="002A59A1">
        <w:t xml:space="preserve"> et Maxime </w:t>
      </w:r>
      <w:proofErr w:type="spellStart"/>
      <w:r w:rsidRPr="002A59A1">
        <w:t>Pernot</w:t>
      </w:r>
      <w:proofErr w:type="spellEnd"/>
    </w:p>
    <w:p w14:paraId="790E13CC" w14:textId="77777777" w:rsidR="002A59A1" w:rsidRPr="002A59A1" w:rsidRDefault="002A59A1" w:rsidP="00B91AEF">
      <w:pPr>
        <w:pStyle w:val="Titre2"/>
      </w:pPr>
      <w:r w:rsidRPr="002A59A1">
        <w:t>Politiques et institutions éducatives</w:t>
      </w:r>
    </w:p>
    <w:p w14:paraId="2C1A8381" w14:textId="77777777" w:rsidR="002A59A1" w:rsidRPr="002A59A1" w:rsidRDefault="002A59A1" w:rsidP="002A59A1">
      <w:r w:rsidRPr="002A59A1">
        <w:t>L’option « Handicapés sociaux » du CAEI (1966-1984) : une option oubliée de l’enseignement spécialisé,</w:t>
      </w:r>
      <w:r w:rsidR="007D5FBE">
        <w:t xml:space="preserve"> </w:t>
      </w:r>
      <w:r w:rsidRPr="002A59A1">
        <w:t>entre social et scolaire</w:t>
      </w:r>
      <w:r w:rsidR="00B91AEF">
        <w:t xml:space="preserve">. </w:t>
      </w:r>
      <w:r w:rsidRPr="002A59A1">
        <w:t xml:space="preserve">Lydie </w:t>
      </w:r>
      <w:proofErr w:type="spellStart"/>
      <w:r w:rsidRPr="002A59A1">
        <w:t>Heurdier</w:t>
      </w:r>
      <w:proofErr w:type="spellEnd"/>
    </w:p>
    <w:p w14:paraId="1033B239" w14:textId="77777777" w:rsidR="002A59A1" w:rsidRPr="002A59A1" w:rsidRDefault="002A59A1" w:rsidP="00B91AEF">
      <w:pPr>
        <w:pStyle w:val="Titre2"/>
      </w:pPr>
      <w:r w:rsidRPr="002A59A1">
        <w:t>Lire, voir, entendre</w:t>
      </w:r>
    </w:p>
    <w:p w14:paraId="2A48FDB0" w14:textId="77777777" w:rsidR="002A59A1" w:rsidRPr="002A59A1" w:rsidRDefault="002A59A1" w:rsidP="002A59A1">
      <w:r w:rsidRPr="002A59A1">
        <w:t>Comptes rendus de lecture</w:t>
      </w:r>
    </w:p>
    <w:p w14:paraId="4D391FA1" w14:textId="77777777" w:rsidR="00090002" w:rsidRPr="002A59A1" w:rsidRDefault="002A59A1" w:rsidP="002A59A1">
      <w:r w:rsidRPr="002A59A1">
        <w:t>Parutions récentes</w:t>
      </w:r>
    </w:p>
    <w:sectPr w:rsidR="00090002" w:rsidRPr="002A59A1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14C38"/>
    <w:rsid w:val="0004200C"/>
    <w:rsid w:val="00046FED"/>
    <w:rsid w:val="00054512"/>
    <w:rsid w:val="00090002"/>
    <w:rsid w:val="000A3A23"/>
    <w:rsid w:val="000B023F"/>
    <w:rsid w:val="000C7CCE"/>
    <w:rsid w:val="000D051A"/>
    <w:rsid w:val="000E464E"/>
    <w:rsid w:val="001074FA"/>
    <w:rsid w:val="0011776D"/>
    <w:rsid w:val="00122C70"/>
    <w:rsid w:val="0013297A"/>
    <w:rsid w:val="00142D22"/>
    <w:rsid w:val="00156315"/>
    <w:rsid w:val="00166C2D"/>
    <w:rsid w:val="00173715"/>
    <w:rsid w:val="00175330"/>
    <w:rsid w:val="001C4745"/>
    <w:rsid w:val="001D4102"/>
    <w:rsid w:val="001E015C"/>
    <w:rsid w:val="001F5F0F"/>
    <w:rsid w:val="002102C0"/>
    <w:rsid w:val="002237BF"/>
    <w:rsid w:val="00224528"/>
    <w:rsid w:val="00273CE1"/>
    <w:rsid w:val="00281EA7"/>
    <w:rsid w:val="00294049"/>
    <w:rsid w:val="002A1403"/>
    <w:rsid w:val="002A59A1"/>
    <w:rsid w:val="002A715C"/>
    <w:rsid w:val="002B7A25"/>
    <w:rsid w:val="002C7EB7"/>
    <w:rsid w:val="002F024B"/>
    <w:rsid w:val="00305D98"/>
    <w:rsid w:val="00314810"/>
    <w:rsid w:val="00323FA8"/>
    <w:rsid w:val="0032601D"/>
    <w:rsid w:val="00327F86"/>
    <w:rsid w:val="0034458B"/>
    <w:rsid w:val="003608C3"/>
    <w:rsid w:val="00361804"/>
    <w:rsid w:val="0036359D"/>
    <w:rsid w:val="00373C1D"/>
    <w:rsid w:val="0037681C"/>
    <w:rsid w:val="00397396"/>
    <w:rsid w:val="003B7805"/>
    <w:rsid w:val="003B7CCA"/>
    <w:rsid w:val="003D1B1C"/>
    <w:rsid w:val="003D4EDF"/>
    <w:rsid w:val="003F41B2"/>
    <w:rsid w:val="00405171"/>
    <w:rsid w:val="00406E84"/>
    <w:rsid w:val="00433A2A"/>
    <w:rsid w:val="00455B7B"/>
    <w:rsid w:val="0047164E"/>
    <w:rsid w:val="00483311"/>
    <w:rsid w:val="004835A2"/>
    <w:rsid w:val="004A7D8E"/>
    <w:rsid w:val="004B1E44"/>
    <w:rsid w:val="004B2828"/>
    <w:rsid w:val="004B6248"/>
    <w:rsid w:val="004C165C"/>
    <w:rsid w:val="004C6508"/>
    <w:rsid w:val="004C7469"/>
    <w:rsid w:val="004E41E3"/>
    <w:rsid w:val="0053317E"/>
    <w:rsid w:val="00546D98"/>
    <w:rsid w:val="0055155D"/>
    <w:rsid w:val="0057220C"/>
    <w:rsid w:val="00583B69"/>
    <w:rsid w:val="0059654A"/>
    <w:rsid w:val="00596DB2"/>
    <w:rsid w:val="005A1A12"/>
    <w:rsid w:val="005C00B1"/>
    <w:rsid w:val="005C6623"/>
    <w:rsid w:val="005C774B"/>
    <w:rsid w:val="005D5169"/>
    <w:rsid w:val="005D5A54"/>
    <w:rsid w:val="005E398B"/>
    <w:rsid w:val="00602A68"/>
    <w:rsid w:val="00645D33"/>
    <w:rsid w:val="00655122"/>
    <w:rsid w:val="00673F30"/>
    <w:rsid w:val="00690E46"/>
    <w:rsid w:val="00695EA5"/>
    <w:rsid w:val="006A6067"/>
    <w:rsid w:val="006C2FCA"/>
    <w:rsid w:val="006C4194"/>
    <w:rsid w:val="006D585B"/>
    <w:rsid w:val="00713831"/>
    <w:rsid w:val="00732096"/>
    <w:rsid w:val="00734281"/>
    <w:rsid w:val="00754292"/>
    <w:rsid w:val="007573BE"/>
    <w:rsid w:val="007823A3"/>
    <w:rsid w:val="00786A7D"/>
    <w:rsid w:val="007A456B"/>
    <w:rsid w:val="007D5FBE"/>
    <w:rsid w:val="007F7283"/>
    <w:rsid w:val="008032BC"/>
    <w:rsid w:val="00804822"/>
    <w:rsid w:val="00852EBF"/>
    <w:rsid w:val="00867C91"/>
    <w:rsid w:val="00871565"/>
    <w:rsid w:val="00871BD2"/>
    <w:rsid w:val="00873C6E"/>
    <w:rsid w:val="00874CD6"/>
    <w:rsid w:val="00886BFF"/>
    <w:rsid w:val="00887A4B"/>
    <w:rsid w:val="008A0D03"/>
    <w:rsid w:val="008B1629"/>
    <w:rsid w:val="008B42E0"/>
    <w:rsid w:val="008C0380"/>
    <w:rsid w:val="008C2DCF"/>
    <w:rsid w:val="0091622E"/>
    <w:rsid w:val="009218AE"/>
    <w:rsid w:val="00924275"/>
    <w:rsid w:val="00934D76"/>
    <w:rsid w:val="009365C8"/>
    <w:rsid w:val="009471DD"/>
    <w:rsid w:val="0095067A"/>
    <w:rsid w:val="00952B2E"/>
    <w:rsid w:val="00953218"/>
    <w:rsid w:val="009543AC"/>
    <w:rsid w:val="00954BE1"/>
    <w:rsid w:val="00956142"/>
    <w:rsid w:val="009653B3"/>
    <w:rsid w:val="00974CE4"/>
    <w:rsid w:val="0098661E"/>
    <w:rsid w:val="0099214D"/>
    <w:rsid w:val="009A0404"/>
    <w:rsid w:val="009D1FE4"/>
    <w:rsid w:val="009F12E6"/>
    <w:rsid w:val="009F44AB"/>
    <w:rsid w:val="00A247DC"/>
    <w:rsid w:val="00A2593E"/>
    <w:rsid w:val="00A62A22"/>
    <w:rsid w:val="00AC547B"/>
    <w:rsid w:val="00AC5B3F"/>
    <w:rsid w:val="00AD4E8A"/>
    <w:rsid w:val="00AE4503"/>
    <w:rsid w:val="00AF3539"/>
    <w:rsid w:val="00B10AEF"/>
    <w:rsid w:val="00B14CA9"/>
    <w:rsid w:val="00B160A2"/>
    <w:rsid w:val="00B45667"/>
    <w:rsid w:val="00B55199"/>
    <w:rsid w:val="00B62E1F"/>
    <w:rsid w:val="00B65A53"/>
    <w:rsid w:val="00B91AEF"/>
    <w:rsid w:val="00B93964"/>
    <w:rsid w:val="00BA507C"/>
    <w:rsid w:val="00BC4E7D"/>
    <w:rsid w:val="00BC7511"/>
    <w:rsid w:val="00BF74D5"/>
    <w:rsid w:val="00C50BF9"/>
    <w:rsid w:val="00C71ACF"/>
    <w:rsid w:val="00C852A0"/>
    <w:rsid w:val="00CA09B1"/>
    <w:rsid w:val="00CA22E6"/>
    <w:rsid w:val="00CB07E5"/>
    <w:rsid w:val="00CD073A"/>
    <w:rsid w:val="00CE6051"/>
    <w:rsid w:val="00CF0874"/>
    <w:rsid w:val="00CF08CD"/>
    <w:rsid w:val="00CF7A3C"/>
    <w:rsid w:val="00D009CB"/>
    <w:rsid w:val="00D201E3"/>
    <w:rsid w:val="00D239D7"/>
    <w:rsid w:val="00D25048"/>
    <w:rsid w:val="00D34C3A"/>
    <w:rsid w:val="00D3592A"/>
    <w:rsid w:val="00D36E81"/>
    <w:rsid w:val="00D43BAF"/>
    <w:rsid w:val="00D45A54"/>
    <w:rsid w:val="00D763A2"/>
    <w:rsid w:val="00D821CB"/>
    <w:rsid w:val="00D84907"/>
    <w:rsid w:val="00D87D41"/>
    <w:rsid w:val="00D90BB8"/>
    <w:rsid w:val="00DB27E2"/>
    <w:rsid w:val="00DF03A0"/>
    <w:rsid w:val="00DF26B4"/>
    <w:rsid w:val="00DF7CFB"/>
    <w:rsid w:val="00E0019E"/>
    <w:rsid w:val="00E22B44"/>
    <w:rsid w:val="00E35D39"/>
    <w:rsid w:val="00E516F8"/>
    <w:rsid w:val="00EA4879"/>
    <w:rsid w:val="00EC53C1"/>
    <w:rsid w:val="00ED2E39"/>
    <w:rsid w:val="00EE6206"/>
    <w:rsid w:val="00EF4870"/>
    <w:rsid w:val="00EF7CC3"/>
    <w:rsid w:val="00F01EEC"/>
    <w:rsid w:val="00F20581"/>
    <w:rsid w:val="00F43D28"/>
    <w:rsid w:val="00F4457A"/>
    <w:rsid w:val="00F446E1"/>
    <w:rsid w:val="00F45C6E"/>
    <w:rsid w:val="00F6324F"/>
    <w:rsid w:val="00F75E92"/>
    <w:rsid w:val="00F76BDA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66B6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61804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1C4745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1804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  <w:style w:type="character" w:customStyle="1" w:styleId="Titre3Car">
    <w:name w:val="Titre 3 Car"/>
    <w:basedOn w:val="Policepardfaut"/>
    <w:link w:val="Titre3"/>
    <w:uiPriority w:val="9"/>
    <w:rsid w:val="001C4745"/>
    <w:rPr>
      <w:rFonts w:ascii="Verdana" w:eastAsiaTheme="majorEastAsia" w:hAnsi="Verdana" w:cstheme="majorBidi"/>
      <w:color w:val="000000" w:themeColor="text1"/>
      <w:sz w:val="22"/>
    </w:rPr>
  </w:style>
  <w:style w:type="character" w:customStyle="1" w:styleId="A0">
    <w:name w:val="A0"/>
    <w:uiPriority w:val="99"/>
    <w:rsid w:val="00405171"/>
    <w:rPr>
      <w:rFonts w:cs="UNIVERS 45 LIGHT"/>
      <w:b/>
      <w:bCs/>
      <w:color w:val="221E1F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EE6206"/>
    <w:pPr>
      <w:spacing w:line="241" w:lineRule="atLeast"/>
    </w:pPr>
    <w:rPr>
      <w:rFonts w:ascii="Myriad Pro" w:hAnsi="Myriad Pro"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9653B3"/>
    <w:pPr>
      <w:spacing w:line="241" w:lineRule="atLeast"/>
    </w:pPr>
    <w:rPr>
      <w:rFonts w:ascii="Myriad Pro" w:hAnsi="Myriad Pro" w:cstheme="minorBidi"/>
      <w:color w:val="auto"/>
    </w:rPr>
  </w:style>
  <w:style w:type="character" w:customStyle="1" w:styleId="A9">
    <w:name w:val="A9"/>
    <w:uiPriority w:val="99"/>
    <w:rsid w:val="00732096"/>
    <w:rPr>
      <w:rFonts w:ascii="Myriad Pro" w:hAnsi="Myriad Pro" w:cs="Myriad Pro"/>
      <w:color w:val="000000"/>
      <w:sz w:val="16"/>
      <w:szCs w:val="16"/>
    </w:rPr>
  </w:style>
  <w:style w:type="paragraph" w:customStyle="1" w:styleId="Pa16">
    <w:name w:val="Pa16"/>
    <w:basedOn w:val="Default"/>
    <w:next w:val="Default"/>
    <w:uiPriority w:val="99"/>
    <w:rsid w:val="00EF7CC3"/>
    <w:pPr>
      <w:spacing w:line="241" w:lineRule="atLeast"/>
    </w:pPr>
    <w:rPr>
      <w:rFonts w:ascii="Myriad Pro" w:hAnsi="Myriad Pro" w:cstheme="minorBidi"/>
      <w:color w:val="auto"/>
    </w:rPr>
  </w:style>
  <w:style w:type="character" w:customStyle="1" w:styleId="A13">
    <w:name w:val="A13"/>
    <w:uiPriority w:val="99"/>
    <w:rsid w:val="00273CE1"/>
    <w:rPr>
      <w:rFonts w:ascii="Helvetica" w:hAnsi="Helvetica" w:cs="Helvetica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361</Words>
  <Characters>2211</Characters>
  <Application>Microsoft Office Word</Application>
  <DocSecurity>0</DocSecurity>
  <Lines>48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de l'adaptation et de la scolarisation. Numéro 67, 3e trimestre 2014</vt:lpstr>
    </vt:vector>
  </TitlesOfParts>
  <Manager/>
  <Company/>
  <LinksUpToDate>false</LinksUpToDate>
  <CharactersWithSpaces>2543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67, 3e trimestre 2014</dc:title>
  <dc:subject/>
  <dc:creator>Pôle Publications, pôle Ressources de l'INSEI</dc:creator>
  <cp:keywords/>
  <dc:description/>
  <cp:lastModifiedBy>Vincent Le Calvez</cp:lastModifiedBy>
  <cp:revision>13</cp:revision>
  <dcterms:created xsi:type="dcterms:W3CDTF">2025-02-20T10:12:00Z</dcterms:created>
  <dcterms:modified xsi:type="dcterms:W3CDTF">2025-02-22T07:17:00Z</dcterms:modified>
  <cp:category/>
</cp:coreProperties>
</file>